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EA0A10" w:rsidRPr="004919A0" w:rsidRDefault="00EA0A10" w:rsidP="00EB2829">
            <w:pPr>
              <w:jc w:val="both"/>
              <w:rPr>
                <w:rFonts w:cstheme="minorHAnsi"/>
                <w:b/>
                <w:sz w:val="14"/>
                <w:szCs w:val="14"/>
                <w:u w:val="single"/>
              </w:rPr>
            </w:pPr>
            <w:r w:rsidRPr="004919A0">
              <w:rPr>
                <w:rFonts w:cstheme="minorHAnsi"/>
                <w:b/>
                <w:sz w:val="14"/>
                <w:szCs w:val="14"/>
                <w:u w:val="single"/>
              </w:rPr>
              <w:t>Nature of the audit evidence</w:t>
            </w:r>
          </w:p>
          <w:p w:rsidR="00EA0A10" w:rsidRPr="004919A0" w:rsidRDefault="00EA0A10" w:rsidP="00EB2829">
            <w:pPr>
              <w:jc w:val="both"/>
              <w:rPr>
                <w:rFonts w:cstheme="minorHAnsi"/>
                <w:sz w:val="14"/>
                <w:szCs w:val="14"/>
              </w:rPr>
            </w:pPr>
            <w:r w:rsidRPr="004919A0">
              <w:rPr>
                <w:rFonts w:cstheme="minorHAnsi"/>
                <w:sz w:val="14"/>
                <w:szCs w:val="14"/>
              </w:rPr>
              <w:t>The nature of audit evidence refers to the form of the evidence you’re looking at during the audit. It should include all accounting documents and may include other available information, such as the minutes of the board of directors meetings.</w:t>
            </w:r>
          </w:p>
          <w:p w:rsidR="00EA0A10" w:rsidRPr="003B501A" w:rsidRDefault="00EA0A10" w:rsidP="00EB2829">
            <w:pPr>
              <w:jc w:val="both"/>
              <w:rPr>
                <w:rFonts w:cstheme="minorHAnsi"/>
                <w:b/>
                <w:sz w:val="14"/>
                <w:szCs w:val="14"/>
              </w:rPr>
            </w:pPr>
            <w:r w:rsidRPr="003B501A">
              <w:rPr>
                <w:rFonts w:cstheme="minorHAnsi"/>
                <w:b/>
                <w:sz w:val="14"/>
                <w:szCs w:val="14"/>
              </w:rPr>
              <w:t>Accounting Documents: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Records of initial entries and supporting records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General and subsidiary ledgers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Invoices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Spreadsheets supporting cost allocations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Adjustments to financial statements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Worksheets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Contracts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Other computations, reconciliations and disclosure</w:t>
            </w:r>
          </w:p>
          <w:p w:rsidR="00EA0A10" w:rsidRPr="003B501A" w:rsidRDefault="00EA0A10" w:rsidP="00EB2829">
            <w:pPr>
              <w:jc w:val="both"/>
              <w:rPr>
                <w:rFonts w:cstheme="minorHAnsi"/>
                <w:b/>
                <w:sz w:val="14"/>
                <w:szCs w:val="14"/>
              </w:rPr>
            </w:pPr>
            <w:r w:rsidRPr="003B501A">
              <w:rPr>
                <w:rFonts w:cstheme="minorHAnsi"/>
                <w:b/>
                <w:sz w:val="14"/>
                <w:szCs w:val="14"/>
              </w:rPr>
              <w:t>Non Accounting evidence</w:t>
            </w:r>
            <w:r w:rsidR="003B501A" w:rsidRPr="003B501A">
              <w:rPr>
                <w:rFonts w:cstheme="minorHAnsi"/>
                <w:b/>
                <w:sz w:val="14"/>
                <w:szCs w:val="14"/>
              </w:rPr>
              <w:t>:</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Meeting minutes from the board of directors</w:t>
            </w:r>
          </w:p>
          <w:p w:rsidR="00EA0A10" w:rsidRPr="004919A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Confirmation from  third parties</w:t>
            </w:r>
          </w:p>
          <w:p w:rsidR="00EA0A10" w:rsidRDefault="00EA0A10" w:rsidP="00EB2829">
            <w:pPr>
              <w:pStyle w:val="ListParagraph"/>
              <w:numPr>
                <w:ilvl w:val="0"/>
                <w:numId w:val="40"/>
              </w:numPr>
              <w:ind w:left="180" w:hanging="180"/>
              <w:jc w:val="both"/>
              <w:rPr>
                <w:rFonts w:cstheme="minorHAnsi"/>
                <w:sz w:val="14"/>
                <w:szCs w:val="14"/>
              </w:rPr>
            </w:pPr>
            <w:r w:rsidRPr="004919A0">
              <w:rPr>
                <w:rFonts w:cstheme="minorHAnsi"/>
                <w:sz w:val="14"/>
                <w:szCs w:val="14"/>
              </w:rPr>
              <w:t>Internal control manuals</w:t>
            </w:r>
          </w:p>
          <w:p w:rsidR="008A70FB" w:rsidRPr="004919A0" w:rsidRDefault="008A70FB" w:rsidP="00EB2829">
            <w:pPr>
              <w:pStyle w:val="ListParagraph"/>
              <w:ind w:left="180"/>
              <w:jc w:val="both"/>
              <w:rPr>
                <w:rFonts w:cstheme="minorHAnsi"/>
                <w:sz w:val="14"/>
                <w:szCs w:val="14"/>
              </w:rPr>
            </w:pPr>
          </w:p>
          <w:p w:rsidR="008A70FB" w:rsidRPr="004919A0" w:rsidRDefault="008A70FB" w:rsidP="00EB2829">
            <w:pPr>
              <w:jc w:val="both"/>
              <w:rPr>
                <w:rFonts w:cstheme="minorHAnsi"/>
                <w:b/>
                <w:sz w:val="14"/>
                <w:szCs w:val="14"/>
                <w:u w:val="single"/>
              </w:rPr>
            </w:pPr>
            <w:r w:rsidRPr="004919A0">
              <w:rPr>
                <w:rFonts w:cstheme="minorHAnsi"/>
                <w:b/>
                <w:sz w:val="14"/>
                <w:szCs w:val="14"/>
                <w:u w:val="single"/>
              </w:rPr>
              <w:t>Audit Evidence Decisions</w:t>
            </w:r>
          </w:p>
          <w:p w:rsidR="008A70FB" w:rsidRPr="004919A0" w:rsidRDefault="008A70FB" w:rsidP="00EB2829">
            <w:pPr>
              <w:jc w:val="both"/>
              <w:rPr>
                <w:rFonts w:cstheme="minorHAnsi"/>
                <w:sz w:val="14"/>
                <w:szCs w:val="14"/>
              </w:rPr>
            </w:pPr>
            <w:r w:rsidRPr="004919A0">
              <w:rPr>
                <w:rFonts w:cstheme="minorHAnsi"/>
                <w:sz w:val="14"/>
                <w:szCs w:val="14"/>
              </w:rPr>
              <w:t>A major decision facing every auditor is determining the appropriate types and amount of evidence needed to be satisfied that the client’s financial statements are fairly stated.</w:t>
            </w:r>
          </w:p>
          <w:p w:rsidR="008A70FB" w:rsidRPr="004919A0" w:rsidRDefault="008A70FB" w:rsidP="00EB2829">
            <w:pPr>
              <w:pStyle w:val="ListParagraph"/>
              <w:numPr>
                <w:ilvl w:val="0"/>
                <w:numId w:val="42"/>
              </w:numPr>
              <w:ind w:left="180" w:hanging="180"/>
              <w:jc w:val="both"/>
              <w:rPr>
                <w:rFonts w:cstheme="minorHAnsi"/>
                <w:sz w:val="14"/>
                <w:szCs w:val="14"/>
              </w:rPr>
            </w:pPr>
            <w:r w:rsidRPr="004919A0">
              <w:rPr>
                <w:rFonts w:cstheme="minorHAnsi"/>
                <w:b/>
                <w:sz w:val="14"/>
                <w:szCs w:val="14"/>
              </w:rPr>
              <w:t>Audit Procedure:</w:t>
            </w:r>
            <w:r w:rsidRPr="004919A0">
              <w:rPr>
                <w:rFonts w:cstheme="minorHAnsi"/>
                <w:sz w:val="14"/>
                <w:szCs w:val="14"/>
              </w:rPr>
              <w:t xml:space="preserve"> Which audit procedure to use? An audit procedure is the detailed instructions for collection of type of audit evidence that is to be obtained at the sometime during the audit.</w:t>
            </w:r>
          </w:p>
          <w:p w:rsidR="008A70FB" w:rsidRPr="004919A0" w:rsidRDefault="008A70FB" w:rsidP="00EB2829">
            <w:pPr>
              <w:pStyle w:val="ListParagraph"/>
              <w:numPr>
                <w:ilvl w:val="0"/>
                <w:numId w:val="42"/>
              </w:numPr>
              <w:ind w:left="180" w:hanging="180"/>
              <w:jc w:val="both"/>
              <w:rPr>
                <w:rFonts w:cstheme="minorHAnsi"/>
                <w:sz w:val="14"/>
                <w:szCs w:val="14"/>
              </w:rPr>
            </w:pPr>
            <w:r w:rsidRPr="004919A0">
              <w:rPr>
                <w:rFonts w:cstheme="minorHAnsi"/>
                <w:b/>
                <w:sz w:val="14"/>
                <w:szCs w:val="14"/>
              </w:rPr>
              <w:t xml:space="preserve">Sample Size: </w:t>
            </w:r>
            <w:r w:rsidRPr="004919A0">
              <w:rPr>
                <w:rFonts w:cstheme="minorHAnsi"/>
                <w:sz w:val="14"/>
                <w:szCs w:val="14"/>
              </w:rPr>
              <w:t>What sample size to select for a given procedure?  Once an audit procedure is selected, the decision of how many items to test must be made by the auditor for each audit procedure. The sample size for any given procedure is likely to vary from audit to audit.</w:t>
            </w:r>
          </w:p>
          <w:p w:rsidR="008A70FB" w:rsidRPr="004919A0" w:rsidRDefault="008A70FB" w:rsidP="00EB2829">
            <w:pPr>
              <w:pStyle w:val="ListParagraph"/>
              <w:numPr>
                <w:ilvl w:val="0"/>
                <w:numId w:val="42"/>
              </w:numPr>
              <w:ind w:left="180" w:hanging="180"/>
              <w:jc w:val="both"/>
              <w:rPr>
                <w:rFonts w:cstheme="minorHAnsi"/>
                <w:sz w:val="14"/>
                <w:szCs w:val="14"/>
              </w:rPr>
            </w:pPr>
            <w:r w:rsidRPr="004919A0">
              <w:rPr>
                <w:rFonts w:cstheme="minorHAnsi"/>
                <w:b/>
                <w:sz w:val="14"/>
                <w:szCs w:val="14"/>
              </w:rPr>
              <w:t>Items to Select:</w:t>
            </w:r>
            <w:r w:rsidRPr="004919A0">
              <w:rPr>
                <w:rFonts w:cstheme="minorHAnsi"/>
                <w:sz w:val="14"/>
                <w:szCs w:val="14"/>
              </w:rPr>
              <w:t xml:space="preserve"> Which items to select from the population? After the sample size has been determined for an audit procedure, it is still necessary to decide which items in the population to test. </w:t>
            </w:r>
          </w:p>
          <w:p w:rsidR="008A70FB" w:rsidRPr="004919A0" w:rsidRDefault="008A70FB" w:rsidP="00EB2829">
            <w:pPr>
              <w:pStyle w:val="ListParagraph"/>
              <w:numPr>
                <w:ilvl w:val="1"/>
                <w:numId w:val="42"/>
              </w:numPr>
              <w:ind w:left="360" w:hanging="180"/>
              <w:jc w:val="both"/>
              <w:rPr>
                <w:rFonts w:cstheme="minorHAnsi"/>
                <w:sz w:val="14"/>
                <w:szCs w:val="14"/>
              </w:rPr>
            </w:pPr>
            <w:r w:rsidRPr="004919A0">
              <w:rPr>
                <w:rFonts w:cstheme="minorHAnsi"/>
                <w:sz w:val="14"/>
                <w:szCs w:val="14"/>
              </w:rPr>
              <w:t>Select a week and examine the first 200 checks.</w:t>
            </w:r>
          </w:p>
          <w:p w:rsidR="008A70FB" w:rsidRPr="004919A0" w:rsidRDefault="008A70FB" w:rsidP="00EB2829">
            <w:pPr>
              <w:pStyle w:val="ListParagraph"/>
              <w:numPr>
                <w:ilvl w:val="1"/>
                <w:numId w:val="42"/>
              </w:numPr>
              <w:ind w:left="360" w:hanging="180"/>
              <w:jc w:val="both"/>
              <w:rPr>
                <w:rFonts w:cstheme="minorHAnsi"/>
                <w:sz w:val="14"/>
                <w:szCs w:val="14"/>
              </w:rPr>
            </w:pPr>
            <w:r w:rsidRPr="004919A0">
              <w:rPr>
                <w:rFonts w:cstheme="minorHAnsi"/>
                <w:sz w:val="14"/>
                <w:szCs w:val="14"/>
              </w:rPr>
              <w:t>Select the 200 checks with the largest amounts.</w:t>
            </w:r>
          </w:p>
          <w:p w:rsidR="008A70FB" w:rsidRPr="004919A0" w:rsidRDefault="008A70FB" w:rsidP="00EB2829">
            <w:pPr>
              <w:pStyle w:val="ListParagraph"/>
              <w:numPr>
                <w:ilvl w:val="1"/>
                <w:numId w:val="42"/>
              </w:numPr>
              <w:ind w:left="360" w:hanging="180"/>
              <w:jc w:val="both"/>
              <w:rPr>
                <w:rFonts w:cstheme="minorHAnsi"/>
                <w:sz w:val="14"/>
                <w:szCs w:val="14"/>
              </w:rPr>
            </w:pPr>
            <w:r w:rsidRPr="004919A0">
              <w:rPr>
                <w:rFonts w:cstheme="minorHAnsi"/>
                <w:sz w:val="14"/>
                <w:szCs w:val="14"/>
              </w:rPr>
              <w:t>Select the checks randomly.</w:t>
            </w:r>
          </w:p>
          <w:p w:rsidR="008A70FB" w:rsidRPr="004919A0" w:rsidRDefault="008A70FB" w:rsidP="00EB2829">
            <w:pPr>
              <w:pStyle w:val="ListParagraph"/>
              <w:numPr>
                <w:ilvl w:val="1"/>
                <w:numId w:val="42"/>
              </w:numPr>
              <w:ind w:left="360" w:hanging="180"/>
              <w:jc w:val="both"/>
              <w:rPr>
                <w:rFonts w:cstheme="minorHAnsi"/>
                <w:sz w:val="14"/>
                <w:szCs w:val="14"/>
              </w:rPr>
            </w:pPr>
            <w:r w:rsidRPr="004919A0">
              <w:rPr>
                <w:rFonts w:cstheme="minorHAnsi"/>
                <w:sz w:val="14"/>
                <w:szCs w:val="14"/>
              </w:rPr>
              <w:t>Select the checks that the auditor thinks are most likely to be in error. Or combination of these methods.</w:t>
            </w:r>
          </w:p>
          <w:p w:rsidR="008A70FB" w:rsidRPr="004919A0" w:rsidRDefault="008A70FB" w:rsidP="00EB2829">
            <w:pPr>
              <w:pStyle w:val="ListParagraph"/>
              <w:numPr>
                <w:ilvl w:val="0"/>
                <w:numId w:val="42"/>
              </w:numPr>
              <w:ind w:left="180" w:hanging="180"/>
              <w:jc w:val="both"/>
              <w:rPr>
                <w:rFonts w:cstheme="minorHAnsi"/>
                <w:b/>
                <w:sz w:val="14"/>
                <w:szCs w:val="14"/>
              </w:rPr>
            </w:pPr>
            <w:r w:rsidRPr="004919A0">
              <w:rPr>
                <w:rFonts w:cstheme="minorHAnsi"/>
                <w:b/>
                <w:sz w:val="14"/>
                <w:szCs w:val="14"/>
              </w:rPr>
              <w:t xml:space="preserve">Timing: </w:t>
            </w:r>
            <w:r w:rsidRPr="004919A0">
              <w:rPr>
                <w:rFonts w:cstheme="minorHAnsi"/>
                <w:sz w:val="14"/>
                <w:szCs w:val="14"/>
              </w:rPr>
              <w:t>When to perform the procedures? The timing decision is affected by when the client needs the audit to be completed.</w:t>
            </w:r>
          </w:p>
          <w:p w:rsidR="009978D8" w:rsidRDefault="009978D8" w:rsidP="00EB2829">
            <w:pPr>
              <w:jc w:val="both"/>
              <w:rPr>
                <w:rFonts w:cstheme="minorHAnsi"/>
                <w:sz w:val="14"/>
                <w:szCs w:val="14"/>
              </w:rPr>
            </w:pPr>
          </w:p>
          <w:p w:rsidR="00E936E5" w:rsidRPr="004919A0" w:rsidRDefault="00E936E5" w:rsidP="00EB2829">
            <w:pPr>
              <w:jc w:val="both"/>
              <w:rPr>
                <w:rFonts w:cstheme="minorHAnsi"/>
                <w:b/>
                <w:sz w:val="14"/>
                <w:szCs w:val="14"/>
                <w:u w:val="single"/>
              </w:rPr>
            </w:pPr>
            <w:r w:rsidRPr="004919A0">
              <w:rPr>
                <w:rFonts w:cstheme="minorHAnsi"/>
                <w:b/>
                <w:sz w:val="14"/>
                <w:szCs w:val="14"/>
                <w:u w:val="single"/>
              </w:rPr>
              <w:t>Persuasiveness of evidence</w:t>
            </w:r>
          </w:p>
          <w:p w:rsidR="00E936E5" w:rsidRPr="004919A0" w:rsidRDefault="00E936E5" w:rsidP="00EB2829">
            <w:pPr>
              <w:jc w:val="both"/>
              <w:rPr>
                <w:rFonts w:cstheme="minorHAnsi"/>
                <w:sz w:val="14"/>
                <w:szCs w:val="14"/>
              </w:rPr>
            </w:pPr>
            <w:r w:rsidRPr="004919A0">
              <w:rPr>
                <w:rFonts w:cstheme="minorHAnsi"/>
                <w:sz w:val="14"/>
                <w:szCs w:val="14"/>
              </w:rPr>
              <w:t>Audit standards require that the auditor accumulate sufficient appropriate evidence to support the opinion issued.</w:t>
            </w:r>
          </w:p>
          <w:p w:rsidR="00E936E5" w:rsidRPr="004919A0" w:rsidRDefault="00E936E5" w:rsidP="00EB2829">
            <w:pPr>
              <w:jc w:val="both"/>
              <w:rPr>
                <w:rFonts w:cstheme="minorHAnsi"/>
                <w:sz w:val="14"/>
                <w:szCs w:val="14"/>
              </w:rPr>
            </w:pPr>
            <w:r w:rsidRPr="004919A0">
              <w:rPr>
                <w:rFonts w:cstheme="minorHAnsi"/>
                <w:sz w:val="14"/>
                <w:szCs w:val="14"/>
              </w:rPr>
              <w:t xml:space="preserve">Audit evidence is any information used by the auditor to determine whether the information being audited is stated in accordance with established criteria.  </w:t>
            </w:r>
          </w:p>
          <w:p w:rsidR="00E936E5" w:rsidRPr="004919A0" w:rsidRDefault="00E936E5" w:rsidP="00EB2829">
            <w:pPr>
              <w:jc w:val="both"/>
              <w:rPr>
                <w:rFonts w:cstheme="minorHAnsi"/>
                <w:sz w:val="14"/>
                <w:szCs w:val="14"/>
              </w:rPr>
            </w:pPr>
            <w:r w:rsidRPr="004919A0">
              <w:rPr>
                <w:rFonts w:cstheme="minorHAnsi"/>
                <w:sz w:val="14"/>
                <w:szCs w:val="14"/>
              </w:rPr>
              <w:t>Two determinants of persuasiveness of evidence are:</w:t>
            </w:r>
          </w:p>
          <w:p w:rsidR="00E936E5" w:rsidRPr="004919A0" w:rsidRDefault="00E936E5" w:rsidP="00EB2829">
            <w:pPr>
              <w:jc w:val="both"/>
              <w:rPr>
                <w:rFonts w:cstheme="minorHAnsi"/>
                <w:sz w:val="14"/>
                <w:szCs w:val="14"/>
              </w:rPr>
            </w:pPr>
            <w:r w:rsidRPr="004919A0">
              <w:rPr>
                <w:rFonts w:cstheme="minorHAnsi"/>
                <w:b/>
                <w:sz w:val="14"/>
                <w:szCs w:val="14"/>
              </w:rPr>
              <w:t xml:space="preserve">Competence </w:t>
            </w:r>
            <w:r w:rsidRPr="004919A0">
              <w:rPr>
                <w:rFonts w:cstheme="minorHAnsi"/>
                <w:sz w:val="14"/>
                <w:szCs w:val="14"/>
              </w:rPr>
              <w:t>– the degree to which evidence can be considered believable or worthy of trust. It’s another terms is reliability of evidence.</w:t>
            </w:r>
          </w:p>
          <w:p w:rsidR="00E936E5" w:rsidRPr="004919A0" w:rsidRDefault="00E936E5" w:rsidP="00EB2829">
            <w:pPr>
              <w:jc w:val="both"/>
              <w:rPr>
                <w:rFonts w:cstheme="minorHAnsi"/>
                <w:sz w:val="14"/>
                <w:szCs w:val="14"/>
              </w:rPr>
            </w:pPr>
            <w:r w:rsidRPr="004919A0">
              <w:rPr>
                <w:rFonts w:cstheme="minorHAnsi"/>
                <w:b/>
                <w:sz w:val="14"/>
                <w:szCs w:val="14"/>
              </w:rPr>
              <w:t>Sufficiency</w:t>
            </w:r>
            <w:r w:rsidRPr="004919A0">
              <w:rPr>
                <w:rFonts w:cstheme="minorHAnsi"/>
                <w:sz w:val="14"/>
                <w:szCs w:val="14"/>
              </w:rPr>
              <w:t xml:space="preserve"> – amount of evidence is enough to form a reasonable opinion. </w:t>
            </w:r>
          </w:p>
          <w:p w:rsidR="00E936E5" w:rsidRPr="004919A0" w:rsidRDefault="00E936E5" w:rsidP="00EB2829">
            <w:pPr>
              <w:jc w:val="both"/>
              <w:rPr>
                <w:rFonts w:cstheme="minorHAnsi"/>
                <w:sz w:val="14"/>
                <w:szCs w:val="14"/>
              </w:rPr>
            </w:pPr>
            <w:r w:rsidRPr="004919A0">
              <w:rPr>
                <w:rFonts w:cstheme="minorHAnsi"/>
                <w:sz w:val="14"/>
                <w:szCs w:val="14"/>
              </w:rPr>
              <w:t xml:space="preserve">The persuasiveness of evidence can be evaluated only after considering the combination of competence and sufficiency, it’s called </w:t>
            </w:r>
            <w:r w:rsidRPr="006E4293">
              <w:rPr>
                <w:rFonts w:cstheme="minorHAnsi"/>
                <w:b/>
                <w:sz w:val="14"/>
                <w:szCs w:val="14"/>
              </w:rPr>
              <w:t>combined</w:t>
            </w:r>
            <w:r w:rsidRPr="004919A0">
              <w:rPr>
                <w:rFonts w:cstheme="minorHAnsi"/>
                <w:sz w:val="14"/>
                <w:szCs w:val="14"/>
              </w:rPr>
              <w:t xml:space="preserve"> </w:t>
            </w:r>
            <w:r w:rsidRPr="006E4293">
              <w:rPr>
                <w:rFonts w:cstheme="minorHAnsi"/>
                <w:b/>
                <w:sz w:val="14"/>
                <w:szCs w:val="14"/>
              </w:rPr>
              <w:t>effect</w:t>
            </w:r>
            <w:r w:rsidRPr="004919A0">
              <w:rPr>
                <w:rFonts w:cstheme="minorHAnsi"/>
                <w:sz w:val="14"/>
                <w:szCs w:val="14"/>
              </w:rPr>
              <w:t>.</w:t>
            </w:r>
          </w:p>
          <w:p w:rsidR="00E936E5" w:rsidRPr="004919A0" w:rsidRDefault="00E936E5" w:rsidP="00EB2829">
            <w:pPr>
              <w:jc w:val="both"/>
              <w:rPr>
                <w:rFonts w:cstheme="minorHAnsi"/>
                <w:b/>
                <w:sz w:val="14"/>
                <w:szCs w:val="14"/>
                <w:u w:val="single"/>
              </w:rPr>
            </w:pPr>
            <w:r w:rsidRPr="004919A0">
              <w:rPr>
                <w:rFonts w:cstheme="minorHAnsi"/>
                <w:b/>
                <w:sz w:val="14"/>
                <w:szCs w:val="14"/>
                <w:u w:val="single"/>
              </w:rPr>
              <w:t>Competence Considerations (7 Criteria)</w:t>
            </w:r>
          </w:p>
          <w:p w:rsidR="00E936E5" w:rsidRPr="004919A0" w:rsidRDefault="00E936E5" w:rsidP="00EB2829">
            <w:pPr>
              <w:pStyle w:val="ListParagraph"/>
              <w:numPr>
                <w:ilvl w:val="0"/>
                <w:numId w:val="43"/>
              </w:numPr>
              <w:ind w:left="180" w:hanging="180"/>
              <w:jc w:val="both"/>
              <w:rPr>
                <w:rFonts w:cstheme="minorHAnsi"/>
                <w:b/>
                <w:sz w:val="14"/>
                <w:szCs w:val="14"/>
              </w:rPr>
            </w:pPr>
            <w:r w:rsidRPr="004919A0">
              <w:rPr>
                <w:rFonts w:cstheme="minorHAnsi"/>
                <w:b/>
                <w:sz w:val="14"/>
                <w:szCs w:val="14"/>
              </w:rPr>
              <w:t xml:space="preserve">Relevance:  </w:t>
            </w:r>
          </w:p>
          <w:p w:rsidR="00E936E5" w:rsidRPr="004919A0" w:rsidRDefault="00E936E5" w:rsidP="00EB2829">
            <w:pPr>
              <w:pStyle w:val="ListParagraph"/>
              <w:numPr>
                <w:ilvl w:val="1"/>
                <w:numId w:val="43"/>
              </w:numPr>
              <w:ind w:left="180" w:hanging="180"/>
              <w:jc w:val="both"/>
              <w:rPr>
                <w:rFonts w:cstheme="minorHAnsi"/>
                <w:b/>
                <w:sz w:val="14"/>
                <w:szCs w:val="14"/>
              </w:rPr>
            </w:pPr>
            <w:r w:rsidRPr="004919A0">
              <w:rPr>
                <w:rFonts w:cstheme="minorHAnsi"/>
                <w:sz w:val="14"/>
                <w:szCs w:val="14"/>
              </w:rPr>
              <w:t>Evidence must be relevant to the assertion being examined by the auditor</w:t>
            </w:r>
          </w:p>
          <w:p w:rsidR="00E936E5" w:rsidRPr="00E936E5" w:rsidRDefault="00E936E5" w:rsidP="00EB2829">
            <w:pPr>
              <w:pStyle w:val="ListParagraph"/>
              <w:numPr>
                <w:ilvl w:val="1"/>
                <w:numId w:val="43"/>
              </w:numPr>
              <w:ind w:left="180" w:hanging="180"/>
              <w:jc w:val="both"/>
              <w:rPr>
                <w:rFonts w:cstheme="minorHAnsi"/>
                <w:sz w:val="14"/>
                <w:szCs w:val="14"/>
              </w:rPr>
            </w:pPr>
            <w:r w:rsidRPr="004919A0">
              <w:rPr>
                <w:rFonts w:cstheme="minorHAnsi"/>
                <w:sz w:val="14"/>
                <w:szCs w:val="14"/>
              </w:rPr>
              <w:t xml:space="preserve">The auditors should always keep in his mid the objective of the particular audit and obtain evidence according to the objective </w:t>
            </w:r>
            <w:proofErr w:type="spellStart"/>
            <w:r w:rsidRPr="004919A0">
              <w:rPr>
                <w:rFonts w:cstheme="minorHAnsi"/>
                <w:sz w:val="14"/>
                <w:szCs w:val="14"/>
              </w:rPr>
              <w:t>e.g</w:t>
            </w:r>
            <w:proofErr w:type="spellEnd"/>
            <w:r w:rsidRPr="004919A0">
              <w:rPr>
                <w:rFonts w:cstheme="minorHAnsi"/>
                <w:sz w:val="14"/>
                <w:szCs w:val="14"/>
              </w:rPr>
              <w:t xml:space="preserve"> physical observation of an inventory as relevant evidence.</w:t>
            </w:r>
          </w:p>
          <w:p w:rsidR="00E936E5" w:rsidRPr="00E936E5" w:rsidRDefault="00E936E5" w:rsidP="00EB2829">
            <w:pPr>
              <w:pStyle w:val="ListParagraph"/>
              <w:numPr>
                <w:ilvl w:val="0"/>
                <w:numId w:val="43"/>
              </w:numPr>
              <w:ind w:left="180" w:hanging="180"/>
              <w:jc w:val="both"/>
              <w:rPr>
                <w:rFonts w:cstheme="minorHAnsi"/>
                <w:sz w:val="14"/>
                <w:szCs w:val="14"/>
              </w:rPr>
            </w:pPr>
            <w:r w:rsidRPr="00E936E5">
              <w:rPr>
                <w:rFonts w:cstheme="minorHAnsi"/>
                <w:b/>
                <w:sz w:val="14"/>
                <w:szCs w:val="14"/>
              </w:rPr>
              <w:t>Independence of provider:</w:t>
            </w:r>
            <w:r w:rsidRPr="00E936E5">
              <w:rPr>
                <w:rFonts w:cstheme="minorHAnsi"/>
                <w:sz w:val="14"/>
                <w:szCs w:val="14"/>
              </w:rPr>
              <w:t xml:space="preserve"> Evidence obtained from source of outside the entity is more reliable than that obtained from within. Evidence from outside the client is a stronger form of evidence. Example: External evidence such as communications from bank, attorneys or customers is generally considered more reliable than answers obtained from inquiries of the client.</w:t>
            </w:r>
          </w:p>
        </w:tc>
        <w:tc>
          <w:tcPr>
            <w:tcW w:w="4140" w:type="dxa"/>
          </w:tcPr>
          <w:p w:rsidR="00E936E5" w:rsidRPr="004919A0" w:rsidRDefault="00E936E5" w:rsidP="00EB2829">
            <w:pPr>
              <w:pStyle w:val="ListParagraph"/>
              <w:numPr>
                <w:ilvl w:val="0"/>
                <w:numId w:val="43"/>
              </w:numPr>
              <w:ind w:left="162" w:hanging="180"/>
              <w:jc w:val="both"/>
              <w:rPr>
                <w:rFonts w:cstheme="minorHAnsi"/>
                <w:b/>
                <w:sz w:val="14"/>
                <w:szCs w:val="14"/>
              </w:rPr>
            </w:pPr>
            <w:r w:rsidRPr="004919A0">
              <w:rPr>
                <w:rFonts w:cstheme="minorHAnsi"/>
                <w:b/>
                <w:sz w:val="14"/>
                <w:szCs w:val="14"/>
              </w:rPr>
              <w:t xml:space="preserve">Effectiveness of client’s internal controls: </w:t>
            </w:r>
            <w:r w:rsidRPr="004919A0">
              <w:rPr>
                <w:rFonts w:cstheme="minorHAnsi"/>
                <w:sz w:val="14"/>
                <w:szCs w:val="14"/>
              </w:rPr>
              <w:t xml:space="preserve">When a client’s internal controls are effective, evidence obtained is more reliable than when they are weak. </w:t>
            </w:r>
            <w:r w:rsidRPr="004919A0">
              <w:rPr>
                <w:rFonts w:cstheme="minorHAnsi"/>
                <w:b/>
                <w:sz w:val="14"/>
                <w:szCs w:val="14"/>
              </w:rPr>
              <w:t xml:space="preserve"> </w:t>
            </w:r>
            <w:r w:rsidRPr="004919A0">
              <w:rPr>
                <w:rFonts w:cstheme="minorHAnsi"/>
                <w:sz w:val="14"/>
                <w:szCs w:val="14"/>
              </w:rPr>
              <w:t xml:space="preserve">Good internal controls can mean better information. Ex: </w:t>
            </w:r>
            <w:r w:rsidRPr="004919A0">
              <w:rPr>
                <w:rStyle w:val="t"/>
                <w:rFonts w:cstheme="minorHAnsi"/>
                <w:sz w:val="14"/>
                <w:szCs w:val="14"/>
              </w:rPr>
              <w:t>Use of duplicate sales invoices for a large well-run company.</w:t>
            </w:r>
          </w:p>
          <w:p w:rsidR="00E936E5" w:rsidRPr="004919A0" w:rsidRDefault="00E936E5" w:rsidP="00EB2829">
            <w:pPr>
              <w:pStyle w:val="ListParagraph"/>
              <w:numPr>
                <w:ilvl w:val="0"/>
                <w:numId w:val="43"/>
              </w:numPr>
              <w:ind w:left="162" w:hanging="162"/>
              <w:jc w:val="both"/>
              <w:rPr>
                <w:rFonts w:cstheme="minorHAnsi"/>
                <w:b/>
                <w:sz w:val="14"/>
                <w:szCs w:val="14"/>
              </w:rPr>
            </w:pPr>
            <w:r w:rsidRPr="004919A0">
              <w:rPr>
                <w:rFonts w:cstheme="minorHAnsi"/>
                <w:b/>
                <w:sz w:val="14"/>
                <w:szCs w:val="14"/>
              </w:rPr>
              <w:t xml:space="preserve">Auditor’s Direct Knowledge: </w:t>
            </w:r>
            <w:r w:rsidRPr="004919A0">
              <w:rPr>
                <w:rFonts w:cstheme="minorHAnsi"/>
                <w:sz w:val="14"/>
                <w:szCs w:val="14"/>
              </w:rPr>
              <w:t xml:space="preserve">Evidence obtained directly by the auditor through physical examination, observation, computation, and inspection is more competent than information obtained indirectly. Ex: </w:t>
            </w:r>
            <w:r w:rsidRPr="004919A0">
              <w:rPr>
                <w:rStyle w:val="t"/>
                <w:rFonts w:cstheme="minorHAnsi"/>
                <w:sz w:val="14"/>
                <w:szCs w:val="14"/>
              </w:rPr>
              <w:t>Physical examination of inventory by the auditor.</w:t>
            </w:r>
          </w:p>
          <w:p w:rsidR="00E936E5" w:rsidRPr="004919A0" w:rsidRDefault="00E936E5" w:rsidP="00EB2829">
            <w:pPr>
              <w:pStyle w:val="ListParagraph"/>
              <w:numPr>
                <w:ilvl w:val="0"/>
                <w:numId w:val="43"/>
              </w:numPr>
              <w:ind w:left="162" w:hanging="162"/>
              <w:jc w:val="both"/>
              <w:rPr>
                <w:rFonts w:cstheme="minorHAnsi"/>
                <w:b/>
                <w:sz w:val="14"/>
                <w:szCs w:val="14"/>
              </w:rPr>
            </w:pPr>
            <w:r w:rsidRPr="004919A0">
              <w:rPr>
                <w:rFonts w:cstheme="minorHAnsi"/>
                <w:sz w:val="14"/>
                <w:szCs w:val="14"/>
              </w:rPr>
              <w:t xml:space="preserve"> </w:t>
            </w:r>
            <w:r w:rsidRPr="004919A0">
              <w:rPr>
                <w:rFonts w:cstheme="minorHAnsi"/>
                <w:b/>
                <w:sz w:val="14"/>
                <w:szCs w:val="14"/>
              </w:rPr>
              <w:t xml:space="preserve">Qualification of individuals providing the information: </w:t>
            </w:r>
            <w:r w:rsidRPr="004919A0">
              <w:rPr>
                <w:rFonts w:cstheme="minorHAnsi"/>
                <w:sz w:val="14"/>
                <w:szCs w:val="14"/>
              </w:rPr>
              <w:t xml:space="preserve">Although the source of information is independent, the evidence will not be reliable unless the individual providing it is quailed to do so.  Ex: </w:t>
            </w:r>
            <w:r w:rsidRPr="004919A0">
              <w:rPr>
                <w:rStyle w:val="t"/>
                <w:rFonts w:cstheme="minorHAnsi"/>
                <w:sz w:val="14"/>
                <w:szCs w:val="14"/>
              </w:rPr>
              <w:t>Letter from an attorney dealing with the client’s affairs</w:t>
            </w:r>
          </w:p>
          <w:p w:rsidR="00E936E5" w:rsidRPr="004919A0" w:rsidRDefault="00E936E5" w:rsidP="00EB2829">
            <w:pPr>
              <w:pStyle w:val="ListParagraph"/>
              <w:numPr>
                <w:ilvl w:val="0"/>
                <w:numId w:val="43"/>
              </w:numPr>
              <w:ind w:left="162" w:hanging="162"/>
              <w:jc w:val="both"/>
              <w:rPr>
                <w:rFonts w:cstheme="minorHAnsi"/>
                <w:b/>
                <w:sz w:val="14"/>
                <w:szCs w:val="14"/>
              </w:rPr>
            </w:pPr>
            <w:r w:rsidRPr="004919A0">
              <w:rPr>
                <w:rFonts w:cstheme="minorHAnsi"/>
                <w:b/>
                <w:sz w:val="14"/>
                <w:szCs w:val="14"/>
              </w:rPr>
              <w:t xml:space="preserve">Degree of Objectivity: </w:t>
            </w:r>
            <w:r w:rsidRPr="004919A0">
              <w:rPr>
                <w:rFonts w:cstheme="minorHAnsi"/>
                <w:sz w:val="14"/>
                <w:szCs w:val="14"/>
              </w:rPr>
              <w:t xml:space="preserve">Objective evidence is stronger than subjective evidence. Ex: </w:t>
            </w:r>
            <w:r w:rsidRPr="004919A0">
              <w:rPr>
                <w:rStyle w:val="t"/>
                <w:rFonts w:cstheme="minorHAnsi"/>
                <w:sz w:val="14"/>
                <w:szCs w:val="14"/>
              </w:rPr>
              <w:t>Count of cash on hand by auditor.</w:t>
            </w:r>
          </w:p>
          <w:p w:rsidR="00E936E5" w:rsidRPr="004919A0" w:rsidRDefault="00E936E5" w:rsidP="00EB2829">
            <w:pPr>
              <w:pStyle w:val="ListParagraph"/>
              <w:numPr>
                <w:ilvl w:val="0"/>
                <w:numId w:val="43"/>
              </w:numPr>
              <w:ind w:left="162" w:hanging="162"/>
              <w:jc w:val="both"/>
              <w:rPr>
                <w:rStyle w:val="t"/>
                <w:rFonts w:cstheme="minorHAnsi"/>
                <w:b/>
                <w:sz w:val="14"/>
                <w:szCs w:val="14"/>
              </w:rPr>
            </w:pPr>
            <w:r w:rsidRPr="004919A0">
              <w:rPr>
                <w:rFonts w:cstheme="minorHAnsi"/>
                <w:b/>
                <w:sz w:val="14"/>
                <w:szCs w:val="14"/>
              </w:rPr>
              <w:t xml:space="preserve">Timelines: </w:t>
            </w:r>
            <w:r w:rsidRPr="004919A0">
              <w:rPr>
                <w:rFonts w:cstheme="minorHAnsi"/>
                <w:sz w:val="14"/>
                <w:szCs w:val="14"/>
              </w:rPr>
              <w:t xml:space="preserve">Balance sheet account evidence is better when it is collected around the date of the financial statement.  Income statement evidence should sample entire period. Ex: </w:t>
            </w:r>
            <w:r w:rsidRPr="004919A0">
              <w:rPr>
                <w:rStyle w:val="t"/>
                <w:rFonts w:cstheme="minorHAnsi"/>
                <w:sz w:val="14"/>
                <w:szCs w:val="14"/>
              </w:rPr>
              <w:t>Observe inventory on the last day of the fiscal year.</w:t>
            </w:r>
          </w:p>
          <w:p w:rsidR="00E936E5" w:rsidRPr="004919A0" w:rsidRDefault="00E936E5" w:rsidP="00EB2829">
            <w:pPr>
              <w:jc w:val="both"/>
              <w:rPr>
                <w:rFonts w:cstheme="minorHAnsi"/>
                <w:b/>
                <w:sz w:val="14"/>
                <w:szCs w:val="14"/>
              </w:rPr>
            </w:pPr>
          </w:p>
          <w:p w:rsidR="00E936E5" w:rsidRPr="004919A0" w:rsidRDefault="00E936E5" w:rsidP="00EB2829">
            <w:pPr>
              <w:jc w:val="both"/>
              <w:rPr>
                <w:rFonts w:cstheme="minorHAnsi"/>
                <w:sz w:val="14"/>
                <w:szCs w:val="14"/>
              </w:rPr>
            </w:pPr>
            <w:r w:rsidRPr="004919A0">
              <w:rPr>
                <w:rFonts w:cstheme="minorHAnsi"/>
                <w:b/>
                <w:sz w:val="14"/>
                <w:szCs w:val="14"/>
              </w:rPr>
              <w:t xml:space="preserve">Sufficiency: </w:t>
            </w:r>
            <w:r w:rsidRPr="004919A0">
              <w:rPr>
                <w:rFonts w:cstheme="minorHAnsi"/>
                <w:sz w:val="14"/>
                <w:szCs w:val="14"/>
              </w:rPr>
              <w:t>Sufficiency of evidence refers to the quantity of evidence obtained. Sufficiency of evidence is measured primarily by the sample size the auditor selects. For a given audit procedure, the evidence obtained from a sample of 200 is more sufficient than from a sample of 100.</w:t>
            </w:r>
          </w:p>
          <w:p w:rsidR="00E936E5" w:rsidRPr="004919A0" w:rsidRDefault="00E936E5" w:rsidP="00EB2829">
            <w:pPr>
              <w:jc w:val="both"/>
              <w:rPr>
                <w:rFonts w:cstheme="minorHAnsi"/>
                <w:sz w:val="14"/>
                <w:szCs w:val="14"/>
              </w:rPr>
            </w:pPr>
            <w:r w:rsidRPr="004919A0">
              <w:rPr>
                <w:rFonts w:cstheme="minorHAnsi"/>
                <w:sz w:val="14"/>
                <w:szCs w:val="14"/>
              </w:rPr>
              <w:t>The sample size that is considered sufficient is affected by two factors:</w:t>
            </w:r>
          </w:p>
          <w:p w:rsidR="00E936E5" w:rsidRPr="004919A0" w:rsidRDefault="00E936E5" w:rsidP="00EB2829">
            <w:pPr>
              <w:pStyle w:val="ListParagraph"/>
              <w:numPr>
                <w:ilvl w:val="0"/>
                <w:numId w:val="44"/>
              </w:numPr>
              <w:ind w:left="342" w:hanging="180"/>
              <w:jc w:val="both"/>
              <w:rPr>
                <w:rFonts w:cstheme="minorHAnsi"/>
                <w:sz w:val="14"/>
                <w:szCs w:val="14"/>
              </w:rPr>
            </w:pPr>
            <w:r w:rsidRPr="004919A0">
              <w:rPr>
                <w:rFonts w:cstheme="minorHAnsi"/>
                <w:sz w:val="14"/>
                <w:szCs w:val="14"/>
              </w:rPr>
              <w:t>The auditor’s expectation of misstatements.</w:t>
            </w:r>
          </w:p>
          <w:p w:rsidR="00E936E5" w:rsidRPr="004919A0" w:rsidRDefault="00E936E5" w:rsidP="00EB2829">
            <w:pPr>
              <w:pStyle w:val="ListParagraph"/>
              <w:numPr>
                <w:ilvl w:val="0"/>
                <w:numId w:val="44"/>
              </w:numPr>
              <w:ind w:left="342" w:hanging="180"/>
              <w:jc w:val="both"/>
              <w:rPr>
                <w:rFonts w:cstheme="minorHAnsi"/>
                <w:sz w:val="14"/>
                <w:szCs w:val="14"/>
              </w:rPr>
            </w:pPr>
            <w:r w:rsidRPr="004919A0">
              <w:rPr>
                <w:rFonts w:cstheme="minorHAnsi"/>
                <w:sz w:val="14"/>
                <w:szCs w:val="14"/>
              </w:rPr>
              <w:t>The effectiveness of the client’s internal controls.</w:t>
            </w:r>
          </w:p>
          <w:p w:rsidR="00AF2940" w:rsidRDefault="00AF2940" w:rsidP="00EB2829">
            <w:pPr>
              <w:jc w:val="both"/>
              <w:rPr>
                <w:rFonts w:cstheme="minorHAnsi"/>
                <w:sz w:val="14"/>
                <w:szCs w:val="14"/>
              </w:rPr>
            </w:pPr>
          </w:p>
          <w:p w:rsidR="00C34D49" w:rsidRPr="004919A0" w:rsidRDefault="00C34D49" w:rsidP="00EB2829">
            <w:pPr>
              <w:jc w:val="both"/>
              <w:rPr>
                <w:rFonts w:cstheme="minorHAnsi"/>
                <w:b/>
                <w:sz w:val="14"/>
                <w:szCs w:val="14"/>
                <w:u w:val="single"/>
              </w:rPr>
            </w:pPr>
            <w:r w:rsidRPr="004919A0">
              <w:rPr>
                <w:rFonts w:cstheme="minorHAnsi"/>
                <w:b/>
                <w:sz w:val="14"/>
                <w:szCs w:val="14"/>
                <w:u w:val="single"/>
              </w:rPr>
              <w:t>Types of Audit Evidence</w:t>
            </w:r>
          </w:p>
          <w:p w:rsidR="00C34D49" w:rsidRPr="004919A0" w:rsidRDefault="00C34D49" w:rsidP="00EB2829">
            <w:pPr>
              <w:jc w:val="both"/>
              <w:rPr>
                <w:rFonts w:cstheme="minorHAnsi"/>
                <w:sz w:val="14"/>
                <w:szCs w:val="14"/>
              </w:rPr>
            </w:pPr>
            <w:r w:rsidRPr="004919A0">
              <w:rPr>
                <w:rFonts w:cstheme="minorHAnsi"/>
                <w:sz w:val="14"/>
                <w:szCs w:val="14"/>
              </w:rPr>
              <w:t>Every audit procedure obtains one or more of the following types of evidence:</w:t>
            </w:r>
          </w:p>
          <w:p w:rsidR="00C34D49" w:rsidRPr="004919A0" w:rsidRDefault="00C34D49" w:rsidP="00EB2829">
            <w:pPr>
              <w:pStyle w:val="ListParagraph"/>
              <w:numPr>
                <w:ilvl w:val="0"/>
                <w:numId w:val="45"/>
              </w:numPr>
              <w:ind w:left="162" w:hanging="162"/>
              <w:jc w:val="both"/>
              <w:rPr>
                <w:rFonts w:cstheme="minorHAnsi"/>
                <w:b/>
                <w:sz w:val="14"/>
                <w:szCs w:val="14"/>
              </w:rPr>
            </w:pPr>
            <w:r w:rsidRPr="004919A0">
              <w:rPr>
                <w:rFonts w:cstheme="minorHAnsi"/>
                <w:b/>
                <w:sz w:val="14"/>
                <w:szCs w:val="14"/>
              </w:rPr>
              <w:t xml:space="preserve">Physical Examination: </w:t>
            </w:r>
          </w:p>
          <w:p w:rsidR="00C34D49" w:rsidRPr="004919A0" w:rsidRDefault="00C34D49" w:rsidP="00EB2829">
            <w:pPr>
              <w:pStyle w:val="ListParagraph"/>
              <w:numPr>
                <w:ilvl w:val="0"/>
                <w:numId w:val="40"/>
              </w:numPr>
              <w:ind w:left="180" w:hanging="108"/>
              <w:jc w:val="both"/>
              <w:rPr>
                <w:rFonts w:cstheme="minorHAnsi"/>
                <w:sz w:val="14"/>
                <w:szCs w:val="14"/>
              </w:rPr>
            </w:pPr>
            <w:r w:rsidRPr="004919A0">
              <w:rPr>
                <w:rFonts w:cstheme="minorHAnsi"/>
                <w:sz w:val="14"/>
                <w:szCs w:val="14"/>
              </w:rPr>
              <w:t>The inspection or count of tangible assets by the auditor.</w:t>
            </w:r>
          </w:p>
          <w:p w:rsidR="00C34D49" w:rsidRPr="004919A0" w:rsidRDefault="00C34D49" w:rsidP="00EB2829">
            <w:pPr>
              <w:pStyle w:val="ListParagraph"/>
              <w:numPr>
                <w:ilvl w:val="0"/>
                <w:numId w:val="40"/>
              </w:numPr>
              <w:ind w:left="180" w:hanging="108"/>
              <w:jc w:val="both"/>
              <w:rPr>
                <w:rFonts w:cstheme="minorHAnsi"/>
                <w:sz w:val="14"/>
                <w:szCs w:val="14"/>
              </w:rPr>
            </w:pPr>
            <w:r w:rsidRPr="004919A0">
              <w:rPr>
                <w:rFonts w:cstheme="minorHAnsi"/>
                <w:sz w:val="14"/>
                <w:szCs w:val="14"/>
              </w:rPr>
              <w:t>Different from examining documentation is that the asset has inherent value.</w:t>
            </w:r>
          </w:p>
          <w:p w:rsidR="00C34D49" w:rsidRPr="004919A0" w:rsidRDefault="00C34D49" w:rsidP="00EB2829">
            <w:pPr>
              <w:pStyle w:val="ListParagraph"/>
              <w:numPr>
                <w:ilvl w:val="0"/>
                <w:numId w:val="40"/>
              </w:numPr>
              <w:ind w:left="180" w:hanging="108"/>
              <w:jc w:val="both"/>
              <w:rPr>
                <w:rFonts w:cstheme="minorHAnsi"/>
                <w:sz w:val="14"/>
                <w:szCs w:val="14"/>
              </w:rPr>
            </w:pPr>
            <w:r w:rsidRPr="004919A0">
              <w:rPr>
                <w:rFonts w:cstheme="minorHAnsi"/>
                <w:sz w:val="14"/>
                <w:szCs w:val="14"/>
              </w:rPr>
              <w:t>To verify existence</w:t>
            </w:r>
          </w:p>
          <w:p w:rsidR="00C34D49" w:rsidRPr="004919A0" w:rsidRDefault="00C34D49" w:rsidP="00EB2829">
            <w:pPr>
              <w:pStyle w:val="ListParagraph"/>
              <w:numPr>
                <w:ilvl w:val="0"/>
                <w:numId w:val="40"/>
              </w:numPr>
              <w:ind w:left="180" w:hanging="108"/>
              <w:jc w:val="both"/>
              <w:rPr>
                <w:rFonts w:cstheme="minorHAnsi"/>
                <w:sz w:val="14"/>
                <w:szCs w:val="14"/>
              </w:rPr>
            </w:pPr>
            <w:r w:rsidRPr="004919A0">
              <w:rPr>
                <w:rFonts w:cstheme="minorHAnsi"/>
                <w:sz w:val="14"/>
                <w:szCs w:val="14"/>
              </w:rPr>
              <w:t>Most expensive for auditing</w:t>
            </w:r>
          </w:p>
          <w:p w:rsidR="00C34D49" w:rsidRPr="004919A0" w:rsidRDefault="00C34D49" w:rsidP="00EB2829">
            <w:pPr>
              <w:pStyle w:val="ListParagraph"/>
              <w:numPr>
                <w:ilvl w:val="0"/>
                <w:numId w:val="45"/>
              </w:numPr>
              <w:ind w:left="162" w:hanging="162"/>
              <w:jc w:val="both"/>
              <w:rPr>
                <w:rFonts w:cstheme="minorHAnsi"/>
                <w:b/>
                <w:sz w:val="14"/>
                <w:szCs w:val="14"/>
              </w:rPr>
            </w:pPr>
            <w:r w:rsidRPr="004919A0">
              <w:rPr>
                <w:rFonts w:cstheme="minorHAnsi"/>
                <w:b/>
                <w:sz w:val="14"/>
                <w:szCs w:val="14"/>
              </w:rPr>
              <w:t xml:space="preserve">Confirmation: </w:t>
            </w:r>
          </w:p>
          <w:p w:rsidR="00C34D49" w:rsidRPr="00C34D49" w:rsidRDefault="00C34D49" w:rsidP="00EB2829">
            <w:pPr>
              <w:pStyle w:val="ListParagraph"/>
              <w:numPr>
                <w:ilvl w:val="0"/>
                <w:numId w:val="40"/>
              </w:numPr>
              <w:ind w:left="180" w:hanging="108"/>
              <w:jc w:val="both"/>
              <w:rPr>
                <w:rFonts w:cstheme="minorHAnsi"/>
                <w:sz w:val="14"/>
                <w:szCs w:val="14"/>
              </w:rPr>
            </w:pPr>
            <w:r w:rsidRPr="00C34D49">
              <w:rPr>
                <w:rFonts w:cstheme="minorHAnsi"/>
                <w:sz w:val="14"/>
                <w:szCs w:val="14"/>
              </w:rPr>
              <w:t>The receipt of a written or oral response from an independent third party.</w:t>
            </w:r>
          </w:p>
          <w:p w:rsidR="00C34D49" w:rsidRPr="00C34D49" w:rsidRDefault="00C34D49" w:rsidP="00EB2829">
            <w:pPr>
              <w:pStyle w:val="ListParagraph"/>
              <w:numPr>
                <w:ilvl w:val="0"/>
                <w:numId w:val="40"/>
              </w:numPr>
              <w:ind w:left="180" w:hanging="108"/>
              <w:jc w:val="both"/>
              <w:rPr>
                <w:rFonts w:cstheme="minorHAnsi"/>
                <w:sz w:val="14"/>
                <w:szCs w:val="14"/>
              </w:rPr>
            </w:pPr>
            <w:r w:rsidRPr="00C34D49">
              <w:rPr>
                <w:rFonts w:cstheme="minorHAnsi"/>
                <w:sz w:val="14"/>
                <w:szCs w:val="14"/>
              </w:rPr>
              <w:t>Auditor has client request that the third party respond directly to the auditor.</w:t>
            </w:r>
          </w:p>
          <w:p w:rsidR="00C34D49" w:rsidRPr="00C34D49" w:rsidRDefault="00C34D49" w:rsidP="00EB2829">
            <w:pPr>
              <w:pStyle w:val="ListParagraph"/>
              <w:numPr>
                <w:ilvl w:val="0"/>
                <w:numId w:val="40"/>
              </w:numPr>
              <w:ind w:left="180" w:hanging="108"/>
              <w:jc w:val="both"/>
              <w:rPr>
                <w:rFonts w:cstheme="minorHAnsi"/>
                <w:sz w:val="14"/>
                <w:szCs w:val="14"/>
              </w:rPr>
            </w:pPr>
            <w:r w:rsidRPr="00C34D49">
              <w:rPr>
                <w:rFonts w:cstheme="minorHAnsi"/>
                <w:sz w:val="14"/>
                <w:szCs w:val="14"/>
              </w:rPr>
              <w:t>Letters signed by the client, but received by auditor</w:t>
            </w:r>
          </w:p>
          <w:p w:rsidR="00C34D49" w:rsidRPr="00C34D49" w:rsidRDefault="00C34D49" w:rsidP="00EB2829">
            <w:pPr>
              <w:pStyle w:val="ListParagraph"/>
              <w:numPr>
                <w:ilvl w:val="0"/>
                <w:numId w:val="40"/>
              </w:numPr>
              <w:ind w:left="180" w:hanging="108"/>
              <w:jc w:val="both"/>
              <w:rPr>
                <w:rFonts w:cstheme="minorHAnsi"/>
                <w:sz w:val="14"/>
                <w:szCs w:val="14"/>
              </w:rPr>
            </w:pPr>
            <w:r w:rsidRPr="00C34D49">
              <w:rPr>
                <w:rFonts w:cstheme="minorHAnsi"/>
                <w:sz w:val="14"/>
                <w:szCs w:val="14"/>
              </w:rPr>
              <w:t>Confirmation of accounts receivable is normally required when practical reasonable (SAS 67)</w:t>
            </w:r>
          </w:p>
          <w:p w:rsidR="00C34D49" w:rsidRPr="00C34D49" w:rsidRDefault="00C34D49" w:rsidP="00EB2829">
            <w:pPr>
              <w:pStyle w:val="ListParagraph"/>
              <w:numPr>
                <w:ilvl w:val="0"/>
                <w:numId w:val="40"/>
              </w:numPr>
              <w:ind w:left="180" w:hanging="108"/>
              <w:jc w:val="both"/>
              <w:rPr>
                <w:rFonts w:cstheme="minorHAnsi"/>
                <w:sz w:val="14"/>
                <w:szCs w:val="14"/>
              </w:rPr>
            </w:pPr>
            <w:r w:rsidRPr="00C34D49">
              <w:rPr>
                <w:rFonts w:cstheme="minorHAnsi"/>
                <w:sz w:val="14"/>
                <w:szCs w:val="14"/>
              </w:rPr>
              <w:t xml:space="preserve">Positive Confirmations: </w:t>
            </w:r>
          </w:p>
          <w:p w:rsidR="00C34D49" w:rsidRPr="004919A0" w:rsidRDefault="00C34D49" w:rsidP="00EB2829">
            <w:pPr>
              <w:pStyle w:val="ListParagraph"/>
              <w:numPr>
                <w:ilvl w:val="2"/>
                <w:numId w:val="45"/>
              </w:numPr>
              <w:ind w:left="342" w:hanging="90"/>
              <w:jc w:val="both"/>
              <w:rPr>
                <w:rFonts w:cstheme="minorHAnsi"/>
                <w:sz w:val="14"/>
                <w:szCs w:val="14"/>
              </w:rPr>
            </w:pPr>
            <w:r w:rsidRPr="004919A0">
              <w:rPr>
                <w:rFonts w:cstheme="minorHAnsi"/>
                <w:sz w:val="14"/>
                <w:szCs w:val="14"/>
              </w:rPr>
              <w:t>Asks for response even if balance is correct.</w:t>
            </w:r>
          </w:p>
          <w:p w:rsidR="00C34D49" w:rsidRPr="004919A0" w:rsidRDefault="00C34D49" w:rsidP="00EB2829">
            <w:pPr>
              <w:pStyle w:val="ListParagraph"/>
              <w:numPr>
                <w:ilvl w:val="2"/>
                <w:numId w:val="45"/>
              </w:numPr>
              <w:ind w:left="342" w:hanging="90"/>
              <w:jc w:val="both"/>
              <w:rPr>
                <w:rFonts w:cstheme="minorHAnsi"/>
                <w:sz w:val="14"/>
                <w:szCs w:val="14"/>
              </w:rPr>
            </w:pPr>
            <w:r w:rsidRPr="004919A0">
              <w:rPr>
                <w:rFonts w:cstheme="minorHAnsi"/>
                <w:sz w:val="14"/>
                <w:szCs w:val="14"/>
              </w:rPr>
              <w:t>More reliable than negative confirmations.</w:t>
            </w:r>
          </w:p>
          <w:p w:rsidR="00C34D49" w:rsidRPr="004919A0" w:rsidRDefault="00C34D49" w:rsidP="00EB2829">
            <w:pPr>
              <w:pStyle w:val="ListParagraph"/>
              <w:numPr>
                <w:ilvl w:val="0"/>
                <w:numId w:val="40"/>
              </w:numPr>
              <w:ind w:left="180" w:hanging="108"/>
              <w:jc w:val="both"/>
              <w:rPr>
                <w:rFonts w:cstheme="minorHAnsi"/>
                <w:sz w:val="14"/>
                <w:szCs w:val="14"/>
              </w:rPr>
            </w:pPr>
            <w:r w:rsidRPr="004919A0">
              <w:rPr>
                <w:rFonts w:cstheme="minorHAnsi"/>
                <w:sz w:val="14"/>
                <w:szCs w:val="14"/>
              </w:rPr>
              <w:t>Negative Confirmations:</w:t>
            </w:r>
          </w:p>
          <w:p w:rsidR="00C34D49" w:rsidRPr="004919A0" w:rsidRDefault="00C34D49" w:rsidP="00EB2829">
            <w:pPr>
              <w:pStyle w:val="ListParagraph"/>
              <w:numPr>
                <w:ilvl w:val="2"/>
                <w:numId w:val="45"/>
              </w:numPr>
              <w:ind w:left="342" w:hanging="90"/>
              <w:jc w:val="both"/>
              <w:rPr>
                <w:rFonts w:cstheme="minorHAnsi"/>
                <w:sz w:val="14"/>
                <w:szCs w:val="14"/>
              </w:rPr>
            </w:pPr>
            <w:r w:rsidRPr="004919A0">
              <w:rPr>
                <w:rFonts w:cstheme="minorHAnsi"/>
                <w:sz w:val="14"/>
                <w:szCs w:val="14"/>
              </w:rPr>
              <w:t>Asks for a response only if balance is incorrect.</w:t>
            </w:r>
          </w:p>
          <w:p w:rsidR="00C34D49" w:rsidRDefault="00C34D49" w:rsidP="00EB2829">
            <w:pPr>
              <w:pStyle w:val="ListParagraph"/>
              <w:numPr>
                <w:ilvl w:val="2"/>
                <w:numId w:val="45"/>
              </w:numPr>
              <w:ind w:left="342" w:hanging="90"/>
              <w:jc w:val="both"/>
              <w:rPr>
                <w:rFonts w:cstheme="minorHAnsi"/>
                <w:sz w:val="14"/>
                <w:szCs w:val="14"/>
              </w:rPr>
            </w:pPr>
            <w:r w:rsidRPr="004919A0">
              <w:rPr>
                <w:rFonts w:cstheme="minorHAnsi"/>
                <w:sz w:val="14"/>
                <w:szCs w:val="14"/>
              </w:rPr>
              <w:t>Uncertainty associated with no response.</w:t>
            </w:r>
          </w:p>
          <w:p w:rsidR="00C34D49" w:rsidRDefault="00C34D49" w:rsidP="00EB2829">
            <w:pPr>
              <w:pStyle w:val="ListParagraph"/>
              <w:numPr>
                <w:ilvl w:val="0"/>
                <w:numId w:val="40"/>
              </w:numPr>
              <w:ind w:left="180" w:hanging="108"/>
              <w:jc w:val="both"/>
              <w:rPr>
                <w:rFonts w:cstheme="minorHAnsi"/>
                <w:sz w:val="14"/>
                <w:szCs w:val="14"/>
              </w:rPr>
            </w:pPr>
            <w:r w:rsidRPr="00C34D49">
              <w:rPr>
                <w:rFonts w:cstheme="minorHAnsi"/>
                <w:sz w:val="14"/>
                <w:szCs w:val="14"/>
              </w:rPr>
              <w:t>Most expensive for auditing</w:t>
            </w:r>
          </w:p>
          <w:tbl>
            <w:tblPr>
              <w:tblStyle w:val="TableGrid"/>
              <w:tblW w:w="4008" w:type="dxa"/>
              <w:tblLayout w:type="fixed"/>
              <w:tblLook w:val="04A0"/>
            </w:tblPr>
            <w:tblGrid>
              <w:gridCol w:w="1935"/>
              <w:gridCol w:w="2073"/>
            </w:tblGrid>
            <w:tr w:rsidR="004026D5" w:rsidRPr="004026D5" w:rsidTr="00A478C2">
              <w:trPr>
                <w:trHeight w:val="169"/>
              </w:trPr>
              <w:tc>
                <w:tcPr>
                  <w:tcW w:w="1935" w:type="dxa"/>
                </w:tcPr>
                <w:p w:rsidR="004026D5" w:rsidRPr="004026D5" w:rsidRDefault="004026D5" w:rsidP="00EB2829">
                  <w:pPr>
                    <w:pStyle w:val="ListParagraph"/>
                    <w:framePr w:hSpace="180" w:wrap="around" w:vAnchor="text" w:hAnchor="margin" w:y="21"/>
                    <w:ind w:left="0"/>
                    <w:jc w:val="both"/>
                    <w:rPr>
                      <w:rFonts w:cstheme="minorHAnsi"/>
                      <w:b/>
                      <w:sz w:val="10"/>
                      <w:szCs w:val="10"/>
                    </w:rPr>
                  </w:pPr>
                  <w:r w:rsidRPr="004026D5">
                    <w:rPr>
                      <w:rFonts w:cstheme="minorHAnsi"/>
                      <w:b/>
                      <w:sz w:val="10"/>
                      <w:szCs w:val="10"/>
                    </w:rPr>
                    <w:t>Information</w:t>
                  </w:r>
                </w:p>
              </w:tc>
              <w:tc>
                <w:tcPr>
                  <w:tcW w:w="2073" w:type="dxa"/>
                </w:tcPr>
                <w:p w:rsidR="004026D5" w:rsidRPr="004026D5" w:rsidRDefault="004026D5" w:rsidP="00EB2829">
                  <w:pPr>
                    <w:pStyle w:val="ListParagraph"/>
                    <w:framePr w:hSpace="180" w:wrap="around" w:vAnchor="text" w:hAnchor="margin" w:y="21"/>
                    <w:ind w:left="0"/>
                    <w:jc w:val="both"/>
                    <w:rPr>
                      <w:rFonts w:cstheme="minorHAnsi"/>
                      <w:b/>
                      <w:sz w:val="10"/>
                      <w:szCs w:val="10"/>
                    </w:rPr>
                  </w:pPr>
                  <w:r w:rsidRPr="004026D5">
                    <w:rPr>
                      <w:rFonts w:cstheme="minorHAnsi"/>
                      <w:b/>
                      <w:sz w:val="10"/>
                      <w:szCs w:val="10"/>
                    </w:rPr>
                    <w:t>Source</w:t>
                  </w:r>
                </w:p>
              </w:tc>
            </w:tr>
            <w:tr w:rsidR="004026D5" w:rsidRPr="004026D5" w:rsidTr="00A478C2">
              <w:trPr>
                <w:trHeight w:val="816"/>
              </w:trPr>
              <w:tc>
                <w:tcPr>
                  <w:tcW w:w="1935" w:type="dxa"/>
                </w:tcPr>
                <w:p w:rsidR="004026D5" w:rsidRPr="004026D5" w:rsidRDefault="004026D5" w:rsidP="00EB2829">
                  <w:pPr>
                    <w:pStyle w:val="ListParagraph"/>
                    <w:framePr w:hSpace="180" w:wrap="around" w:vAnchor="text" w:hAnchor="margin" w:y="21"/>
                    <w:ind w:left="0"/>
                    <w:jc w:val="both"/>
                    <w:rPr>
                      <w:rFonts w:cstheme="minorHAnsi"/>
                      <w:b/>
                      <w:sz w:val="10"/>
                      <w:szCs w:val="10"/>
                    </w:rPr>
                  </w:pPr>
                  <w:r w:rsidRPr="004026D5">
                    <w:rPr>
                      <w:rFonts w:cstheme="minorHAnsi"/>
                      <w:b/>
                      <w:sz w:val="10"/>
                      <w:szCs w:val="10"/>
                    </w:rPr>
                    <w:t>Assets</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Cash in bank</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Accounts receivables</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Notes receivables</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Owned inventory out on consignment</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Inventory held in public warehouse</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Cash surrender value of life insurance</w:t>
                  </w:r>
                </w:p>
              </w:tc>
              <w:tc>
                <w:tcPr>
                  <w:tcW w:w="2073" w:type="dxa"/>
                </w:tcPr>
                <w:p w:rsidR="004026D5" w:rsidRPr="004026D5" w:rsidRDefault="004026D5" w:rsidP="00EB2829">
                  <w:pPr>
                    <w:pStyle w:val="ListParagraph"/>
                    <w:framePr w:hSpace="180" w:wrap="around" w:vAnchor="text" w:hAnchor="margin" w:y="21"/>
                    <w:ind w:left="0"/>
                    <w:jc w:val="both"/>
                    <w:rPr>
                      <w:rFonts w:cstheme="minorHAnsi"/>
                      <w:sz w:val="10"/>
                      <w:szCs w:val="10"/>
                    </w:rPr>
                  </w:pP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Bank</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Customer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Maker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Consignee</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Public warehouse</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Insurance company</w:t>
                  </w:r>
                </w:p>
              </w:tc>
            </w:tr>
            <w:tr w:rsidR="004026D5" w:rsidRPr="004026D5" w:rsidTr="00A478C2">
              <w:trPr>
                <w:trHeight w:val="771"/>
              </w:trPr>
              <w:tc>
                <w:tcPr>
                  <w:tcW w:w="1935" w:type="dxa"/>
                </w:tcPr>
                <w:p w:rsidR="004026D5" w:rsidRPr="004026D5" w:rsidRDefault="004026D5" w:rsidP="00EB2829">
                  <w:pPr>
                    <w:pStyle w:val="ListParagraph"/>
                    <w:framePr w:hSpace="180" w:wrap="around" w:vAnchor="text" w:hAnchor="margin" w:y="21"/>
                    <w:ind w:left="0"/>
                    <w:jc w:val="both"/>
                    <w:rPr>
                      <w:rFonts w:cstheme="minorHAnsi"/>
                      <w:b/>
                      <w:sz w:val="10"/>
                      <w:szCs w:val="10"/>
                    </w:rPr>
                  </w:pPr>
                  <w:r w:rsidRPr="004026D5">
                    <w:rPr>
                      <w:rFonts w:cstheme="minorHAnsi"/>
                      <w:b/>
                      <w:sz w:val="10"/>
                      <w:szCs w:val="10"/>
                    </w:rPr>
                    <w:t>Liabilities</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Account payable</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Note payable</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Advances from customer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Mortgages payable</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Bond payable</w:t>
                  </w:r>
                </w:p>
              </w:tc>
              <w:tc>
                <w:tcPr>
                  <w:tcW w:w="2073" w:type="dxa"/>
                </w:tcPr>
                <w:p w:rsidR="004026D5" w:rsidRPr="004026D5" w:rsidRDefault="004026D5" w:rsidP="00EB2829">
                  <w:pPr>
                    <w:pStyle w:val="ListParagraph"/>
                    <w:framePr w:hSpace="180" w:wrap="around" w:vAnchor="text" w:hAnchor="margin" w:y="21"/>
                    <w:ind w:left="0"/>
                    <w:jc w:val="both"/>
                    <w:rPr>
                      <w:rFonts w:cstheme="minorHAnsi"/>
                      <w:sz w:val="10"/>
                      <w:szCs w:val="10"/>
                    </w:rPr>
                  </w:pP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Creditor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Lender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Customer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Mortgagor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Bondholder</w:t>
                  </w:r>
                </w:p>
              </w:tc>
            </w:tr>
            <w:tr w:rsidR="004026D5" w:rsidRPr="004026D5" w:rsidTr="00A478C2">
              <w:trPr>
                <w:trHeight w:val="258"/>
              </w:trPr>
              <w:tc>
                <w:tcPr>
                  <w:tcW w:w="1935" w:type="dxa"/>
                </w:tcPr>
                <w:p w:rsidR="004026D5" w:rsidRPr="004026D5" w:rsidRDefault="004026D5" w:rsidP="00EB2829">
                  <w:pPr>
                    <w:pStyle w:val="ListParagraph"/>
                    <w:framePr w:hSpace="180" w:wrap="around" w:vAnchor="text" w:hAnchor="margin" w:y="21"/>
                    <w:ind w:left="0"/>
                    <w:jc w:val="both"/>
                    <w:rPr>
                      <w:rFonts w:cstheme="minorHAnsi"/>
                      <w:b/>
                      <w:sz w:val="10"/>
                      <w:szCs w:val="10"/>
                    </w:rPr>
                  </w:pPr>
                  <w:r w:rsidRPr="004026D5">
                    <w:rPr>
                      <w:rFonts w:cstheme="minorHAnsi"/>
                      <w:b/>
                      <w:sz w:val="10"/>
                      <w:szCs w:val="10"/>
                    </w:rPr>
                    <w:t>Owner’s Equity</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Shares outstanding</w:t>
                  </w:r>
                </w:p>
              </w:tc>
              <w:tc>
                <w:tcPr>
                  <w:tcW w:w="2073" w:type="dxa"/>
                </w:tcPr>
                <w:p w:rsidR="004026D5" w:rsidRPr="004026D5" w:rsidRDefault="004026D5" w:rsidP="00EB2829">
                  <w:pPr>
                    <w:pStyle w:val="ListParagraph"/>
                    <w:framePr w:hSpace="180" w:wrap="around" w:vAnchor="text" w:hAnchor="margin" w:y="21"/>
                    <w:ind w:left="0"/>
                    <w:jc w:val="both"/>
                    <w:rPr>
                      <w:rFonts w:cstheme="minorHAnsi"/>
                      <w:sz w:val="10"/>
                      <w:szCs w:val="10"/>
                    </w:rPr>
                  </w:pP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Registrar and transfer agent</w:t>
                  </w:r>
                </w:p>
              </w:tc>
            </w:tr>
            <w:tr w:rsidR="004026D5" w:rsidRPr="004026D5" w:rsidTr="00A478C2">
              <w:trPr>
                <w:trHeight w:val="618"/>
              </w:trPr>
              <w:tc>
                <w:tcPr>
                  <w:tcW w:w="1935" w:type="dxa"/>
                </w:tcPr>
                <w:p w:rsidR="004026D5" w:rsidRPr="004026D5" w:rsidRDefault="004026D5" w:rsidP="00EB2829">
                  <w:pPr>
                    <w:pStyle w:val="ListParagraph"/>
                    <w:framePr w:hSpace="180" w:wrap="around" w:vAnchor="text" w:hAnchor="margin" w:y="21"/>
                    <w:ind w:left="0"/>
                    <w:jc w:val="both"/>
                    <w:rPr>
                      <w:rFonts w:cstheme="minorHAnsi"/>
                      <w:b/>
                      <w:sz w:val="10"/>
                      <w:szCs w:val="10"/>
                    </w:rPr>
                  </w:pPr>
                  <w:r w:rsidRPr="004026D5">
                    <w:rPr>
                      <w:rFonts w:cstheme="minorHAnsi"/>
                      <w:b/>
                      <w:sz w:val="10"/>
                      <w:szCs w:val="10"/>
                    </w:rPr>
                    <w:t>Other Information</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Insurance coverage</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Contingent liabilities</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Bond indenture agreements</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Collateral held by creditors</w:t>
                  </w:r>
                </w:p>
              </w:tc>
              <w:tc>
                <w:tcPr>
                  <w:tcW w:w="2073" w:type="dxa"/>
                </w:tcPr>
                <w:p w:rsidR="004026D5" w:rsidRPr="004026D5" w:rsidRDefault="004026D5" w:rsidP="00EB2829">
                  <w:pPr>
                    <w:pStyle w:val="ListParagraph"/>
                    <w:framePr w:hSpace="180" w:wrap="around" w:vAnchor="text" w:hAnchor="margin" w:y="21"/>
                    <w:ind w:left="0"/>
                    <w:jc w:val="both"/>
                    <w:rPr>
                      <w:rFonts w:cstheme="minorHAnsi"/>
                      <w:sz w:val="10"/>
                      <w:szCs w:val="10"/>
                    </w:rPr>
                  </w:pP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Insurance company</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Bank, lender, and client’s legal counsel</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Bondholder</w:t>
                  </w:r>
                </w:p>
                <w:p w:rsidR="004026D5" w:rsidRPr="004026D5" w:rsidRDefault="004026D5" w:rsidP="00EB2829">
                  <w:pPr>
                    <w:pStyle w:val="ListParagraph"/>
                    <w:framePr w:hSpace="180" w:wrap="around" w:vAnchor="text" w:hAnchor="margin" w:y="21"/>
                    <w:ind w:left="0"/>
                    <w:jc w:val="both"/>
                    <w:rPr>
                      <w:rFonts w:cstheme="minorHAnsi"/>
                      <w:sz w:val="10"/>
                      <w:szCs w:val="10"/>
                    </w:rPr>
                  </w:pPr>
                  <w:r w:rsidRPr="004026D5">
                    <w:rPr>
                      <w:rFonts w:cstheme="minorHAnsi"/>
                      <w:sz w:val="10"/>
                      <w:szCs w:val="10"/>
                    </w:rPr>
                    <w:t>Creditor</w:t>
                  </w:r>
                </w:p>
              </w:tc>
            </w:tr>
          </w:tbl>
          <w:p w:rsidR="00C34D49" w:rsidRPr="00C34D49" w:rsidRDefault="00C34D49" w:rsidP="00EB2829">
            <w:pPr>
              <w:jc w:val="both"/>
              <w:rPr>
                <w:rFonts w:cstheme="minorHAnsi"/>
                <w:sz w:val="14"/>
                <w:szCs w:val="14"/>
              </w:rPr>
            </w:pPr>
          </w:p>
        </w:tc>
        <w:tc>
          <w:tcPr>
            <w:tcW w:w="3258" w:type="dxa"/>
          </w:tcPr>
          <w:p w:rsidR="00EB2829" w:rsidRPr="00EB2829" w:rsidRDefault="00EB2829" w:rsidP="00EB2829">
            <w:pPr>
              <w:pStyle w:val="ListParagraph"/>
              <w:numPr>
                <w:ilvl w:val="0"/>
                <w:numId w:val="45"/>
              </w:numPr>
              <w:ind w:left="162" w:hanging="162"/>
              <w:jc w:val="both"/>
              <w:rPr>
                <w:rFonts w:cstheme="minorHAnsi"/>
                <w:b/>
                <w:sz w:val="14"/>
                <w:szCs w:val="14"/>
              </w:rPr>
            </w:pPr>
            <w:r w:rsidRPr="00EB2829">
              <w:rPr>
                <w:rFonts w:cstheme="minorHAnsi"/>
                <w:b/>
                <w:sz w:val="14"/>
                <w:szCs w:val="14"/>
              </w:rPr>
              <w:t xml:space="preserve">Documentation: </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The auditor’s examination of the client’s documents and records to prove the truth of the information in the financial statements.</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 xml:space="preserve">Document can be </w:t>
            </w:r>
          </w:p>
          <w:p w:rsidR="00EB2829" w:rsidRPr="004919A0" w:rsidRDefault="00EB2829" w:rsidP="00EB2829">
            <w:pPr>
              <w:pStyle w:val="ListParagraph"/>
              <w:numPr>
                <w:ilvl w:val="2"/>
                <w:numId w:val="45"/>
              </w:numPr>
              <w:ind w:left="162" w:hanging="162"/>
              <w:jc w:val="both"/>
              <w:rPr>
                <w:rFonts w:cstheme="minorHAnsi"/>
                <w:sz w:val="14"/>
                <w:szCs w:val="14"/>
              </w:rPr>
            </w:pPr>
            <w:r w:rsidRPr="00EB2829">
              <w:rPr>
                <w:rFonts w:cstheme="minorHAnsi"/>
                <w:b/>
                <w:sz w:val="14"/>
                <w:szCs w:val="14"/>
              </w:rPr>
              <w:t>Internal</w:t>
            </w:r>
            <w:r w:rsidRPr="004919A0">
              <w:rPr>
                <w:rFonts w:cstheme="minorHAnsi"/>
                <w:sz w:val="14"/>
                <w:szCs w:val="14"/>
              </w:rPr>
              <w:t>: Prepared by the client’s organization. Does not go outside the client.</w:t>
            </w:r>
          </w:p>
          <w:p w:rsidR="00EB2829" w:rsidRPr="00EB2829" w:rsidRDefault="00EB2829" w:rsidP="00EB2829">
            <w:pPr>
              <w:pStyle w:val="ListParagraph"/>
              <w:numPr>
                <w:ilvl w:val="2"/>
                <w:numId w:val="45"/>
              </w:numPr>
              <w:ind w:left="162" w:hanging="162"/>
              <w:jc w:val="both"/>
              <w:rPr>
                <w:rFonts w:cstheme="minorHAnsi"/>
                <w:sz w:val="14"/>
                <w:szCs w:val="14"/>
              </w:rPr>
            </w:pPr>
            <w:r w:rsidRPr="00EB2829">
              <w:rPr>
                <w:rFonts w:cstheme="minorHAnsi"/>
                <w:b/>
                <w:sz w:val="14"/>
                <w:szCs w:val="14"/>
              </w:rPr>
              <w:t>External</w:t>
            </w:r>
            <w:r w:rsidRPr="00EB2829">
              <w:rPr>
                <w:rFonts w:cstheme="minorHAnsi"/>
                <w:sz w:val="14"/>
                <w:szCs w:val="14"/>
              </w:rPr>
              <w:t>: Prepared or handled by someone outside the organization who is a party to the transaction. More reliable than internal documents.</w:t>
            </w:r>
          </w:p>
          <w:p w:rsidR="00EB2829" w:rsidRPr="00EB2829" w:rsidRDefault="00EB2829" w:rsidP="00EB2829">
            <w:pPr>
              <w:pStyle w:val="ListParagraph"/>
              <w:numPr>
                <w:ilvl w:val="0"/>
                <w:numId w:val="40"/>
              </w:numPr>
              <w:ind w:left="180" w:hanging="180"/>
              <w:jc w:val="both"/>
              <w:rPr>
                <w:rFonts w:cstheme="minorHAnsi"/>
                <w:b/>
                <w:sz w:val="14"/>
                <w:szCs w:val="14"/>
              </w:rPr>
            </w:pPr>
            <w:r w:rsidRPr="00EB2829">
              <w:rPr>
                <w:rFonts w:cstheme="minorHAnsi"/>
                <w:b/>
                <w:sz w:val="14"/>
                <w:szCs w:val="14"/>
              </w:rPr>
              <w:t>Document Vouching</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Examination of documents that support a recorded transaction or amount.</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The direction of testing must be from the recorded item to the supporting document.</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Tests existence or occurrence</w:t>
            </w:r>
          </w:p>
          <w:p w:rsidR="00EB2829" w:rsidRPr="00EB2829" w:rsidRDefault="00EB2829" w:rsidP="00EB2829">
            <w:pPr>
              <w:pStyle w:val="ListParagraph"/>
              <w:numPr>
                <w:ilvl w:val="0"/>
                <w:numId w:val="40"/>
              </w:numPr>
              <w:ind w:left="180" w:hanging="180"/>
              <w:jc w:val="both"/>
              <w:rPr>
                <w:rFonts w:cstheme="minorHAnsi"/>
                <w:b/>
                <w:sz w:val="14"/>
                <w:szCs w:val="14"/>
              </w:rPr>
            </w:pPr>
            <w:r w:rsidRPr="00EB2829">
              <w:rPr>
                <w:rFonts w:cstheme="minorHAnsi"/>
                <w:b/>
                <w:sz w:val="14"/>
                <w:szCs w:val="14"/>
              </w:rPr>
              <w:t>Document Tracing</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The primary tests for unrecorded items and therefore tests the completeness assertion.</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The direction of testing must be from the supporting document to the recorded item.</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Moderately costly</w:t>
            </w:r>
          </w:p>
          <w:p w:rsidR="00EB2829" w:rsidRPr="004919A0" w:rsidRDefault="00EB2829" w:rsidP="00EB2829">
            <w:pPr>
              <w:pStyle w:val="ListParagraph"/>
              <w:numPr>
                <w:ilvl w:val="0"/>
                <w:numId w:val="45"/>
              </w:numPr>
              <w:ind w:left="162" w:hanging="162"/>
              <w:jc w:val="both"/>
              <w:rPr>
                <w:rFonts w:cstheme="minorHAnsi"/>
                <w:b/>
                <w:sz w:val="14"/>
                <w:szCs w:val="14"/>
              </w:rPr>
            </w:pPr>
            <w:r w:rsidRPr="004919A0">
              <w:rPr>
                <w:rFonts w:cstheme="minorHAnsi"/>
                <w:b/>
                <w:sz w:val="14"/>
                <w:szCs w:val="14"/>
              </w:rPr>
              <w:t>Observation:</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Watching a process or procedure being performed by others.</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Auditor witnesses the physical activities of the client.</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Differs from physical examination because physical examination counts assets, while observation focuses on client activities.</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 xml:space="preserve">Least expensive </w:t>
            </w:r>
          </w:p>
          <w:p w:rsidR="00EB2829" w:rsidRPr="004919A0" w:rsidRDefault="00EB2829" w:rsidP="00EB2829">
            <w:pPr>
              <w:pStyle w:val="ListParagraph"/>
              <w:numPr>
                <w:ilvl w:val="0"/>
                <w:numId w:val="45"/>
              </w:numPr>
              <w:ind w:left="162" w:hanging="162"/>
              <w:jc w:val="both"/>
              <w:rPr>
                <w:rFonts w:cstheme="minorHAnsi"/>
                <w:b/>
                <w:sz w:val="14"/>
                <w:szCs w:val="14"/>
              </w:rPr>
            </w:pPr>
            <w:r w:rsidRPr="004919A0">
              <w:rPr>
                <w:rFonts w:cstheme="minorHAnsi"/>
                <w:b/>
                <w:sz w:val="14"/>
                <w:szCs w:val="14"/>
              </w:rPr>
              <w:t>Inquiries of the client:</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Auditor obtains information from the client in response to questions.</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Oral or written information from client</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Confirmation by other sources</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Although much evidence is obtained through inquiry, it cannot be regarded as conclusive and may be biased in the client’s favor.</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 xml:space="preserve">Least expensive </w:t>
            </w:r>
          </w:p>
          <w:p w:rsidR="00EB2829" w:rsidRPr="004919A0" w:rsidRDefault="00EB2829" w:rsidP="00EB2829">
            <w:pPr>
              <w:pStyle w:val="ListParagraph"/>
              <w:numPr>
                <w:ilvl w:val="0"/>
                <w:numId w:val="45"/>
              </w:numPr>
              <w:ind w:left="162" w:hanging="162"/>
              <w:jc w:val="both"/>
              <w:rPr>
                <w:rFonts w:cstheme="minorHAnsi"/>
                <w:b/>
                <w:sz w:val="14"/>
                <w:szCs w:val="14"/>
              </w:rPr>
            </w:pPr>
            <w:r w:rsidRPr="004919A0">
              <w:rPr>
                <w:rFonts w:cstheme="minorHAnsi"/>
                <w:b/>
                <w:sz w:val="14"/>
                <w:szCs w:val="14"/>
              </w:rPr>
              <w:t xml:space="preserve">Re-performance: </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 xml:space="preserve">Re-performance involves rechecking a sample of the computations and transfers of information.  </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Rechecking of computations consists of testing mathematical accuracy.  Rechecking of transfers of information involves seeing if information is recorded consistently in the accounting records.</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Moderately costly</w:t>
            </w:r>
          </w:p>
          <w:p w:rsidR="00EB2829" w:rsidRPr="004919A0" w:rsidRDefault="00EB2829" w:rsidP="00EB2829">
            <w:pPr>
              <w:pStyle w:val="ListParagraph"/>
              <w:numPr>
                <w:ilvl w:val="0"/>
                <w:numId w:val="45"/>
              </w:numPr>
              <w:ind w:left="162" w:hanging="162"/>
              <w:jc w:val="both"/>
              <w:rPr>
                <w:rFonts w:cstheme="minorHAnsi"/>
                <w:b/>
                <w:sz w:val="14"/>
                <w:szCs w:val="14"/>
              </w:rPr>
            </w:pPr>
            <w:r w:rsidRPr="004919A0">
              <w:rPr>
                <w:rFonts w:cstheme="minorHAnsi"/>
                <w:b/>
                <w:sz w:val="14"/>
                <w:szCs w:val="14"/>
              </w:rPr>
              <w:t>Analytical Procedures:</w:t>
            </w:r>
          </w:p>
          <w:p w:rsidR="00EB2829" w:rsidRPr="004919A0" w:rsidRDefault="00EB2829" w:rsidP="00EB2829">
            <w:pPr>
              <w:pStyle w:val="ListParagraph"/>
              <w:numPr>
                <w:ilvl w:val="0"/>
                <w:numId w:val="40"/>
              </w:numPr>
              <w:ind w:left="180" w:hanging="180"/>
              <w:jc w:val="both"/>
              <w:rPr>
                <w:rFonts w:cstheme="minorHAnsi"/>
                <w:sz w:val="14"/>
                <w:szCs w:val="14"/>
              </w:rPr>
            </w:pPr>
            <w:r w:rsidRPr="004919A0">
              <w:rPr>
                <w:rFonts w:cstheme="minorHAnsi"/>
                <w:sz w:val="14"/>
                <w:szCs w:val="14"/>
              </w:rPr>
              <w:t>The evaluation of financial information through analysis of reasonable relationships among financial and nonfinancial data and are required during planning and competition phases of all audits.  It includes:</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Understanding the client’s Industry and Business</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Assess the entity’s ability to continue as a going concern</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Indicate the presence of possible misstatement in the financial statements</w:t>
            </w:r>
          </w:p>
          <w:p w:rsidR="00EB2829" w:rsidRPr="004919A0"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Provide evidence supporting an account balance</w:t>
            </w:r>
          </w:p>
          <w:p w:rsidR="00EB2829" w:rsidRDefault="00EB2829" w:rsidP="00EB2829">
            <w:pPr>
              <w:pStyle w:val="ListParagraph"/>
              <w:numPr>
                <w:ilvl w:val="2"/>
                <w:numId w:val="45"/>
              </w:numPr>
              <w:ind w:left="162" w:hanging="162"/>
              <w:jc w:val="both"/>
              <w:rPr>
                <w:rFonts w:cstheme="minorHAnsi"/>
                <w:sz w:val="14"/>
                <w:szCs w:val="14"/>
              </w:rPr>
            </w:pPr>
            <w:r w:rsidRPr="004919A0">
              <w:rPr>
                <w:rFonts w:cstheme="minorHAnsi"/>
                <w:sz w:val="14"/>
                <w:szCs w:val="14"/>
              </w:rPr>
              <w:t>Considerable analytical procedures</w:t>
            </w:r>
          </w:p>
          <w:p w:rsidR="004026D5" w:rsidRDefault="00EB2829" w:rsidP="00EB2829">
            <w:pPr>
              <w:pStyle w:val="ListParagraph"/>
              <w:numPr>
                <w:ilvl w:val="0"/>
                <w:numId w:val="40"/>
              </w:numPr>
              <w:ind w:left="180" w:hanging="180"/>
              <w:jc w:val="both"/>
              <w:rPr>
                <w:rFonts w:cstheme="minorHAnsi"/>
                <w:sz w:val="14"/>
                <w:szCs w:val="14"/>
              </w:rPr>
            </w:pPr>
            <w:r w:rsidRPr="00EB2829">
              <w:rPr>
                <w:rFonts w:cstheme="minorHAnsi"/>
                <w:sz w:val="14"/>
                <w:szCs w:val="14"/>
              </w:rPr>
              <w:t>Moderately costly</w:t>
            </w:r>
          </w:p>
          <w:p w:rsidR="00187540" w:rsidRPr="00187540" w:rsidRDefault="00187540" w:rsidP="00187540">
            <w:pPr>
              <w:jc w:val="both"/>
              <w:rPr>
                <w:rFonts w:cstheme="minorHAnsi"/>
                <w:sz w:val="14"/>
                <w:szCs w:val="14"/>
              </w:rPr>
            </w:pPr>
          </w:p>
          <w:p w:rsidR="00187540" w:rsidRPr="004919A0" w:rsidRDefault="00187540" w:rsidP="00187540">
            <w:pPr>
              <w:rPr>
                <w:rFonts w:cstheme="minorHAnsi"/>
                <w:b/>
                <w:sz w:val="14"/>
                <w:szCs w:val="14"/>
              </w:rPr>
            </w:pPr>
            <w:r w:rsidRPr="004919A0">
              <w:rPr>
                <w:rFonts w:cstheme="minorHAnsi"/>
                <w:b/>
                <w:sz w:val="14"/>
                <w:szCs w:val="14"/>
              </w:rPr>
              <w:t>Difference between confirmation and external document</w:t>
            </w:r>
          </w:p>
          <w:p w:rsidR="00187540" w:rsidRPr="004919A0" w:rsidRDefault="00187540" w:rsidP="00187540">
            <w:pPr>
              <w:jc w:val="both"/>
              <w:rPr>
                <w:rFonts w:cstheme="minorHAnsi"/>
                <w:sz w:val="14"/>
                <w:szCs w:val="14"/>
              </w:rPr>
            </w:pPr>
            <w:r w:rsidRPr="004919A0">
              <w:rPr>
                <w:rFonts w:cstheme="minorHAnsi"/>
                <w:sz w:val="14"/>
                <w:szCs w:val="14"/>
              </w:rPr>
              <w:t>A confirmation is prepared specially for the auditor and comes from the external source.</w:t>
            </w:r>
          </w:p>
          <w:p w:rsidR="00187540" w:rsidRPr="004919A0" w:rsidRDefault="00187540" w:rsidP="00187540">
            <w:pPr>
              <w:jc w:val="both"/>
              <w:rPr>
                <w:rFonts w:cstheme="minorHAnsi"/>
                <w:sz w:val="14"/>
                <w:szCs w:val="14"/>
              </w:rPr>
            </w:pPr>
            <w:r w:rsidRPr="004919A0">
              <w:rPr>
                <w:rFonts w:cstheme="minorHAnsi"/>
                <w:sz w:val="14"/>
                <w:szCs w:val="14"/>
              </w:rPr>
              <w:t>External documentation is in the hands of the client at the time of audit and was prepared for the client’s use in the day-to-day operation of the business.</w:t>
            </w:r>
          </w:p>
          <w:p w:rsidR="004026D5" w:rsidRPr="00BC60B4" w:rsidRDefault="004026D5" w:rsidP="00EB2829">
            <w:pPr>
              <w:jc w:val="both"/>
              <w:rPr>
                <w:rFonts w:cstheme="minorHAnsi"/>
                <w:sz w:val="14"/>
                <w:szCs w:val="14"/>
              </w:rPr>
            </w:pPr>
          </w:p>
        </w:tc>
      </w:tr>
    </w:tbl>
    <w:p w:rsidR="00B915BE" w:rsidRPr="00041F70" w:rsidRDefault="00B915BE" w:rsidP="00EB2829">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415AD"/>
    <w:multiLevelType w:val="hybridMultilevel"/>
    <w:tmpl w:val="992E1BD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5">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
    <w:nsid w:val="0E6C7A9B"/>
    <w:multiLevelType w:val="hybridMultilevel"/>
    <w:tmpl w:val="B6FE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E055D0"/>
    <w:multiLevelType w:val="hybridMultilevel"/>
    <w:tmpl w:val="C9D6B8F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5285E"/>
    <w:multiLevelType w:val="hybridMultilevel"/>
    <w:tmpl w:val="B444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D630A0"/>
    <w:multiLevelType w:val="hybridMultilevel"/>
    <w:tmpl w:val="3640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7A7351"/>
    <w:multiLevelType w:val="hybridMultilevel"/>
    <w:tmpl w:val="6FF0E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B004CE"/>
    <w:multiLevelType w:val="hybridMultilevel"/>
    <w:tmpl w:val="1DFA6B54"/>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251BAD"/>
    <w:multiLevelType w:val="hybridMultilevel"/>
    <w:tmpl w:val="C4B025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CE4FF2"/>
    <w:multiLevelType w:val="hybridMultilevel"/>
    <w:tmpl w:val="5D3C215E"/>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B44178"/>
    <w:multiLevelType w:val="hybridMultilevel"/>
    <w:tmpl w:val="12A6E49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F21414"/>
    <w:multiLevelType w:val="hybridMultilevel"/>
    <w:tmpl w:val="E188B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01D7F"/>
    <w:multiLevelType w:val="hybridMultilevel"/>
    <w:tmpl w:val="A356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EC7A22"/>
    <w:multiLevelType w:val="hybridMultilevel"/>
    <w:tmpl w:val="5C14F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0A511F"/>
    <w:multiLevelType w:val="hybridMultilevel"/>
    <w:tmpl w:val="CF7C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9B265F"/>
    <w:multiLevelType w:val="hybridMultilevel"/>
    <w:tmpl w:val="A96ACF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115330"/>
    <w:multiLevelType w:val="hybridMultilevel"/>
    <w:tmpl w:val="428C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7B24A1"/>
    <w:multiLevelType w:val="hybridMultilevel"/>
    <w:tmpl w:val="C9D6B8F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2"/>
  </w:num>
  <w:num w:numId="3">
    <w:abstractNumId w:val="24"/>
  </w:num>
  <w:num w:numId="4">
    <w:abstractNumId w:val="26"/>
  </w:num>
  <w:num w:numId="5">
    <w:abstractNumId w:val="11"/>
  </w:num>
  <w:num w:numId="6">
    <w:abstractNumId w:val="4"/>
  </w:num>
  <w:num w:numId="7">
    <w:abstractNumId w:val="38"/>
  </w:num>
  <w:num w:numId="8">
    <w:abstractNumId w:val="10"/>
  </w:num>
  <w:num w:numId="9">
    <w:abstractNumId w:val="41"/>
  </w:num>
  <w:num w:numId="10">
    <w:abstractNumId w:val="18"/>
  </w:num>
  <w:num w:numId="11">
    <w:abstractNumId w:val="14"/>
  </w:num>
  <w:num w:numId="12">
    <w:abstractNumId w:val="45"/>
  </w:num>
  <w:num w:numId="13">
    <w:abstractNumId w:val="6"/>
  </w:num>
  <w:num w:numId="14">
    <w:abstractNumId w:val="44"/>
  </w:num>
  <w:num w:numId="15">
    <w:abstractNumId w:val="31"/>
  </w:num>
  <w:num w:numId="16">
    <w:abstractNumId w:val="3"/>
  </w:num>
  <w:num w:numId="17">
    <w:abstractNumId w:val="34"/>
  </w:num>
  <w:num w:numId="18">
    <w:abstractNumId w:val="29"/>
  </w:num>
  <w:num w:numId="19">
    <w:abstractNumId w:val="37"/>
  </w:num>
  <w:num w:numId="20">
    <w:abstractNumId w:val="1"/>
  </w:num>
  <w:num w:numId="21">
    <w:abstractNumId w:val="8"/>
  </w:num>
  <w:num w:numId="22">
    <w:abstractNumId w:val="30"/>
  </w:num>
  <w:num w:numId="23">
    <w:abstractNumId w:val="25"/>
  </w:num>
  <w:num w:numId="24">
    <w:abstractNumId w:val="28"/>
  </w:num>
  <w:num w:numId="25">
    <w:abstractNumId w:val="5"/>
  </w:num>
  <w:num w:numId="26">
    <w:abstractNumId w:val="9"/>
  </w:num>
  <w:num w:numId="27">
    <w:abstractNumId w:val="0"/>
  </w:num>
  <w:num w:numId="28">
    <w:abstractNumId w:val="15"/>
  </w:num>
  <w:num w:numId="29">
    <w:abstractNumId w:val="17"/>
  </w:num>
  <w:num w:numId="30">
    <w:abstractNumId w:val="35"/>
  </w:num>
  <w:num w:numId="31">
    <w:abstractNumId w:val="7"/>
  </w:num>
  <w:num w:numId="32">
    <w:abstractNumId w:val="20"/>
  </w:num>
  <w:num w:numId="33">
    <w:abstractNumId w:val="21"/>
  </w:num>
  <w:num w:numId="34">
    <w:abstractNumId w:val="2"/>
  </w:num>
  <w:num w:numId="35">
    <w:abstractNumId w:val="23"/>
  </w:num>
  <w:num w:numId="36">
    <w:abstractNumId w:val="16"/>
  </w:num>
  <w:num w:numId="37">
    <w:abstractNumId w:val="40"/>
  </w:num>
  <w:num w:numId="38">
    <w:abstractNumId w:val="36"/>
  </w:num>
  <w:num w:numId="39">
    <w:abstractNumId w:val="33"/>
  </w:num>
  <w:num w:numId="40">
    <w:abstractNumId w:val="39"/>
  </w:num>
  <w:num w:numId="41">
    <w:abstractNumId w:val="19"/>
  </w:num>
  <w:num w:numId="42">
    <w:abstractNumId w:val="22"/>
  </w:num>
  <w:num w:numId="43">
    <w:abstractNumId w:val="27"/>
  </w:num>
  <w:num w:numId="44">
    <w:abstractNumId w:val="42"/>
  </w:num>
  <w:num w:numId="45">
    <w:abstractNumId w:val="43"/>
  </w:num>
  <w:num w:numId="46">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DD1988"/>
    <w:rsid w:val="00004A3A"/>
    <w:rsid w:val="00005201"/>
    <w:rsid w:val="00015C5C"/>
    <w:rsid w:val="00022686"/>
    <w:rsid w:val="00023B71"/>
    <w:rsid w:val="00041F70"/>
    <w:rsid w:val="0007303B"/>
    <w:rsid w:val="000E7F4E"/>
    <w:rsid w:val="000F6427"/>
    <w:rsid w:val="001016E9"/>
    <w:rsid w:val="00187540"/>
    <w:rsid w:val="001B45B6"/>
    <w:rsid w:val="00215E4E"/>
    <w:rsid w:val="0024511F"/>
    <w:rsid w:val="00247317"/>
    <w:rsid w:val="00257B5B"/>
    <w:rsid w:val="002862A8"/>
    <w:rsid w:val="00292E02"/>
    <w:rsid w:val="002A45C9"/>
    <w:rsid w:val="002D3DDF"/>
    <w:rsid w:val="002D5A3C"/>
    <w:rsid w:val="00302BFC"/>
    <w:rsid w:val="0033178E"/>
    <w:rsid w:val="003326EC"/>
    <w:rsid w:val="003B501A"/>
    <w:rsid w:val="003E30B7"/>
    <w:rsid w:val="003E4594"/>
    <w:rsid w:val="003E7469"/>
    <w:rsid w:val="004026D5"/>
    <w:rsid w:val="00415458"/>
    <w:rsid w:val="004252AD"/>
    <w:rsid w:val="00434AF7"/>
    <w:rsid w:val="00472DB7"/>
    <w:rsid w:val="00473056"/>
    <w:rsid w:val="004A7438"/>
    <w:rsid w:val="004D18BF"/>
    <w:rsid w:val="004E3799"/>
    <w:rsid w:val="005648DC"/>
    <w:rsid w:val="005703D7"/>
    <w:rsid w:val="0057438C"/>
    <w:rsid w:val="00581503"/>
    <w:rsid w:val="00591208"/>
    <w:rsid w:val="005B5992"/>
    <w:rsid w:val="005D6209"/>
    <w:rsid w:val="00610D04"/>
    <w:rsid w:val="00642FF3"/>
    <w:rsid w:val="006447BC"/>
    <w:rsid w:val="0065391E"/>
    <w:rsid w:val="00675CCB"/>
    <w:rsid w:val="006A68EB"/>
    <w:rsid w:val="006E4293"/>
    <w:rsid w:val="00735440"/>
    <w:rsid w:val="00770847"/>
    <w:rsid w:val="0079653D"/>
    <w:rsid w:val="007A1EF2"/>
    <w:rsid w:val="007E1902"/>
    <w:rsid w:val="008307AF"/>
    <w:rsid w:val="00861186"/>
    <w:rsid w:val="00862199"/>
    <w:rsid w:val="008A70FB"/>
    <w:rsid w:val="008F07BF"/>
    <w:rsid w:val="009304D1"/>
    <w:rsid w:val="00930B33"/>
    <w:rsid w:val="00954927"/>
    <w:rsid w:val="00962366"/>
    <w:rsid w:val="009721A2"/>
    <w:rsid w:val="00973336"/>
    <w:rsid w:val="009978D8"/>
    <w:rsid w:val="009A0F94"/>
    <w:rsid w:val="009C115D"/>
    <w:rsid w:val="009F7615"/>
    <w:rsid w:val="00A01C6F"/>
    <w:rsid w:val="00A31F28"/>
    <w:rsid w:val="00A4728F"/>
    <w:rsid w:val="00A54B0F"/>
    <w:rsid w:val="00A57611"/>
    <w:rsid w:val="00A809BE"/>
    <w:rsid w:val="00A80F40"/>
    <w:rsid w:val="00A872B8"/>
    <w:rsid w:val="00A875EE"/>
    <w:rsid w:val="00AB5309"/>
    <w:rsid w:val="00AC193D"/>
    <w:rsid w:val="00AC27E9"/>
    <w:rsid w:val="00AF2493"/>
    <w:rsid w:val="00AF2940"/>
    <w:rsid w:val="00B1426D"/>
    <w:rsid w:val="00B649C8"/>
    <w:rsid w:val="00B915BE"/>
    <w:rsid w:val="00BA7765"/>
    <w:rsid w:val="00BB7597"/>
    <w:rsid w:val="00BC60B4"/>
    <w:rsid w:val="00BF1533"/>
    <w:rsid w:val="00C34D49"/>
    <w:rsid w:val="00C82788"/>
    <w:rsid w:val="00CB7D29"/>
    <w:rsid w:val="00D370EB"/>
    <w:rsid w:val="00D41CE8"/>
    <w:rsid w:val="00D75468"/>
    <w:rsid w:val="00D87130"/>
    <w:rsid w:val="00D91933"/>
    <w:rsid w:val="00DB7253"/>
    <w:rsid w:val="00DD1988"/>
    <w:rsid w:val="00E30979"/>
    <w:rsid w:val="00E577BF"/>
    <w:rsid w:val="00E606EC"/>
    <w:rsid w:val="00E8097E"/>
    <w:rsid w:val="00E936E5"/>
    <w:rsid w:val="00E9774F"/>
    <w:rsid w:val="00EA0A10"/>
    <w:rsid w:val="00EB2829"/>
    <w:rsid w:val="00EB427F"/>
    <w:rsid w:val="00F05464"/>
    <w:rsid w:val="00F5254C"/>
    <w:rsid w:val="00F60F80"/>
    <w:rsid w:val="00F75487"/>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t">
    <w:name w:val="t"/>
    <w:basedOn w:val="DefaultParagraphFont"/>
    <w:rsid w:val="00591208"/>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130</cp:revision>
  <dcterms:created xsi:type="dcterms:W3CDTF">2017-11-28T09:00:00Z</dcterms:created>
  <dcterms:modified xsi:type="dcterms:W3CDTF">2019-02-28T14:12:00Z</dcterms:modified>
</cp:coreProperties>
</file>